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CBD05" w14:textId="7C309073" w:rsidR="00BA4F25" w:rsidRDefault="00BA4F25" w:rsidP="00E301F6">
      <w:pPr>
        <w:spacing w:after="0"/>
        <w:jc w:val="center"/>
        <w:rPr>
          <w:rFonts w:ascii="Rubik" w:hAnsi="Rubik" w:cs="Rubik"/>
          <w:b/>
          <w:sz w:val="36"/>
          <w:szCs w:val="36"/>
        </w:rPr>
      </w:pPr>
      <w:r w:rsidRPr="00BA4F25">
        <w:rPr>
          <w:rFonts w:ascii="Rubik" w:hAnsi="Rubik" w:cs="Rubik"/>
          <w:b/>
          <w:sz w:val="36"/>
          <w:szCs w:val="36"/>
        </w:rPr>
        <w:t xml:space="preserve">Los lácteos, aliados frente a la hipertensión: </w:t>
      </w:r>
      <w:r w:rsidR="00CE4A9A">
        <w:rPr>
          <w:rFonts w:ascii="Rubik" w:hAnsi="Rubik" w:cs="Rubik"/>
          <w:b/>
          <w:sz w:val="36"/>
          <w:szCs w:val="36"/>
        </w:rPr>
        <w:br/>
      </w:r>
      <w:r w:rsidRPr="00BA4F25">
        <w:rPr>
          <w:rFonts w:ascii="Rubik" w:hAnsi="Rubik" w:cs="Rubik"/>
          <w:b/>
          <w:sz w:val="36"/>
          <w:szCs w:val="36"/>
        </w:rPr>
        <w:t xml:space="preserve">nueva evidencia científica refuerza su papel </w:t>
      </w:r>
      <w:r w:rsidR="00CE4A9A">
        <w:rPr>
          <w:rFonts w:ascii="Rubik" w:hAnsi="Rubik" w:cs="Rubik"/>
          <w:b/>
          <w:sz w:val="36"/>
          <w:szCs w:val="36"/>
        </w:rPr>
        <w:br/>
      </w:r>
      <w:r w:rsidRPr="00BA4F25">
        <w:rPr>
          <w:rFonts w:ascii="Rubik" w:hAnsi="Rubik" w:cs="Rubik"/>
          <w:b/>
          <w:sz w:val="36"/>
          <w:szCs w:val="36"/>
        </w:rPr>
        <w:t>en la salud cardiovascular</w:t>
      </w:r>
    </w:p>
    <w:p w14:paraId="72DD9279" w14:textId="2A8F460C" w:rsidR="00F4002C" w:rsidRDefault="00BA4F25" w:rsidP="00E301F6">
      <w:pPr>
        <w:spacing w:after="0"/>
        <w:jc w:val="center"/>
        <w:rPr>
          <w:rFonts w:ascii="Rubik" w:hAnsi="Rubik" w:cs="Rubik"/>
          <w:i/>
          <w:iCs/>
        </w:rPr>
      </w:pPr>
      <w:r>
        <w:rPr>
          <w:rFonts w:ascii="Rubik" w:hAnsi="Rubik" w:cs="Rubik"/>
          <w:b/>
          <w:sz w:val="36"/>
          <w:szCs w:val="36"/>
        </w:rPr>
        <w:br/>
      </w:r>
      <w:r w:rsidRPr="00BA4F25">
        <w:rPr>
          <w:rFonts w:ascii="Rubik" w:hAnsi="Rubik" w:cs="Rubik"/>
          <w:i/>
          <w:iCs/>
        </w:rPr>
        <w:t>Un estudio internacional publicado en Nutrients demuestra la asociación entre el consumo de lácteos y la reducción del riesgo de hipertensión arterial</w:t>
      </w:r>
    </w:p>
    <w:p w14:paraId="7257FE59" w14:textId="77777777" w:rsidR="00E301F6" w:rsidRPr="00B86C3E" w:rsidRDefault="00E301F6" w:rsidP="00E301F6">
      <w:pPr>
        <w:spacing w:after="0"/>
        <w:jc w:val="center"/>
        <w:rPr>
          <w:rFonts w:ascii="Rubik" w:hAnsi="Rubik" w:cs="Rubik"/>
          <w:i/>
          <w:iCs/>
          <w:sz w:val="24"/>
          <w:szCs w:val="24"/>
        </w:rPr>
      </w:pPr>
    </w:p>
    <w:p w14:paraId="724A4092" w14:textId="106930B3" w:rsidR="0008762E" w:rsidRPr="0008762E" w:rsidRDefault="00FD16CB" w:rsidP="0008762E">
      <w:pPr>
        <w:jc w:val="both"/>
        <w:rPr>
          <w:rFonts w:ascii="Rubik" w:hAnsi="Rubik" w:cs="Rubik"/>
        </w:rPr>
      </w:pPr>
      <w:r>
        <w:rPr>
          <w:rFonts w:ascii="Rubik" w:hAnsi="Rubik" w:cs="Rubik"/>
          <w:b/>
          <w:bCs/>
        </w:rPr>
        <w:t>Madrid</w:t>
      </w:r>
      <w:r w:rsidR="007756B3" w:rsidRPr="00B86C3E">
        <w:rPr>
          <w:rFonts w:ascii="Rubik" w:hAnsi="Rubik" w:cs="Rubik"/>
          <w:b/>
          <w:bCs/>
        </w:rPr>
        <w:t xml:space="preserve">, </w:t>
      </w:r>
      <w:r w:rsidR="00720CE5">
        <w:rPr>
          <w:rFonts w:ascii="Rubik" w:hAnsi="Rubik" w:cs="Rubik"/>
          <w:b/>
          <w:bCs/>
        </w:rPr>
        <w:t>10</w:t>
      </w:r>
      <w:r w:rsidR="00B86C3E">
        <w:rPr>
          <w:rFonts w:ascii="Rubik" w:hAnsi="Rubik" w:cs="Rubik"/>
          <w:b/>
          <w:bCs/>
        </w:rPr>
        <w:t xml:space="preserve"> d</w:t>
      </w:r>
      <w:r w:rsidR="007756B3" w:rsidRPr="00B86C3E">
        <w:rPr>
          <w:rFonts w:ascii="Rubik" w:hAnsi="Rubik" w:cs="Rubik"/>
          <w:b/>
          <w:bCs/>
        </w:rPr>
        <w:t xml:space="preserve">e </w:t>
      </w:r>
      <w:r w:rsidR="00BA4F25">
        <w:rPr>
          <w:rFonts w:ascii="Rubik" w:hAnsi="Rubik" w:cs="Rubik"/>
          <w:b/>
          <w:bCs/>
        </w:rPr>
        <w:t>septiembre</w:t>
      </w:r>
      <w:r w:rsidR="007756B3" w:rsidRPr="00B86C3E">
        <w:rPr>
          <w:rFonts w:ascii="Rubik" w:hAnsi="Rubik" w:cs="Rubik"/>
          <w:b/>
          <w:bCs/>
        </w:rPr>
        <w:t xml:space="preserve"> de 2025.-</w:t>
      </w:r>
      <w:r w:rsidR="007756B3" w:rsidRPr="00B86C3E">
        <w:rPr>
          <w:rFonts w:ascii="Rubik" w:hAnsi="Rubik" w:cs="Rubik"/>
        </w:rPr>
        <w:t xml:space="preserve"> </w:t>
      </w:r>
      <w:r w:rsidR="00017D82" w:rsidRPr="00017D82">
        <w:rPr>
          <w:rFonts w:ascii="Rubik" w:hAnsi="Rubik" w:cs="Rubik"/>
        </w:rPr>
        <w:t xml:space="preserve">La hipertensión arterial es uno de los principales factores de riesgo cardiovascular en el mundo, y su control es un reto prioritario de salud pública. Una revisión sistemática y metaanálisis publicada recientemente en la revista </w:t>
      </w:r>
      <w:r w:rsidR="00017D82" w:rsidRPr="00F45710">
        <w:rPr>
          <w:rFonts w:ascii="Rubik" w:hAnsi="Rubik" w:cs="Rubik"/>
          <w:i/>
          <w:iCs/>
        </w:rPr>
        <w:t>Nutrients,</w:t>
      </w:r>
      <w:r w:rsidR="00017D82" w:rsidRPr="00017D82">
        <w:rPr>
          <w:rFonts w:ascii="Rubik" w:hAnsi="Rubik" w:cs="Rubik"/>
        </w:rPr>
        <w:t xml:space="preserve"> liderada por el profesor David I. Givens de la Universidad de Reading, analiza datos de más de 20 estudios prospectivos y confirma que un mayor consumo de lácteos se asocia con un menor riesgo de desarrollar hipertensión</w:t>
      </w:r>
      <w:r w:rsidR="0008762E" w:rsidRPr="0008762E">
        <w:rPr>
          <w:rFonts w:ascii="Rubik" w:hAnsi="Rubik" w:cs="Rubik"/>
        </w:rPr>
        <w:t>.</w:t>
      </w:r>
    </w:p>
    <w:p w14:paraId="788290A8" w14:textId="77777777" w:rsidR="00017D82" w:rsidRDefault="00017D82" w:rsidP="0008762E">
      <w:pPr>
        <w:jc w:val="both"/>
        <w:rPr>
          <w:rFonts w:ascii="Rubik" w:hAnsi="Rubik" w:cs="Rubik"/>
          <w:b/>
          <w:bCs/>
        </w:rPr>
      </w:pPr>
      <w:r w:rsidRPr="00017D82">
        <w:rPr>
          <w:rFonts w:ascii="Rubik" w:hAnsi="Rubik" w:cs="Rubik"/>
          <w:b/>
          <w:bCs/>
        </w:rPr>
        <w:t>Más que calcio: un conjunto de nutrientes que actúan en sinergia</w:t>
      </w:r>
    </w:p>
    <w:p w14:paraId="0128D585" w14:textId="77777777" w:rsidR="00FD7EBB" w:rsidRDefault="00FD7EBB" w:rsidP="0008762E">
      <w:pPr>
        <w:jc w:val="both"/>
        <w:rPr>
          <w:rFonts w:ascii="Rubik" w:hAnsi="Rubik" w:cs="Rubik"/>
        </w:rPr>
      </w:pPr>
      <w:r w:rsidRPr="00FD7EBB">
        <w:rPr>
          <w:rFonts w:ascii="Rubik" w:hAnsi="Rubik" w:cs="Rubik"/>
        </w:rPr>
        <w:t xml:space="preserve">Los investigadores concluyen que los efectos beneficiosos de los lácteos no pueden reducirse solo a su aporte de calcio. Elementos como el potasio, el magnesio o los péptidos bioactivos procedentes de la fermentación ejercen un papel relevante en la regulación de la presión arterial, favoreciendo la dilatación de los vasos sanguíneos y reduciendo la rigidez arterial. </w:t>
      </w:r>
    </w:p>
    <w:p w14:paraId="1A3FD033" w14:textId="5BBF06F9" w:rsidR="0008762E" w:rsidRPr="0008762E" w:rsidRDefault="00FD7EBB" w:rsidP="0008762E">
      <w:pPr>
        <w:jc w:val="both"/>
        <w:rPr>
          <w:rFonts w:ascii="Rubik" w:hAnsi="Rubik" w:cs="Rubik"/>
        </w:rPr>
      </w:pPr>
      <w:r w:rsidRPr="00FD7EBB">
        <w:rPr>
          <w:rFonts w:ascii="Rubik" w:hAnsi="Rubik" w:cs="Rubik"/>
        </w:rPr>
        <w:t>La evidencia muestra que</w:t>
      </w:r>
      <w:r w:rsidR="005704D7">
        <w:rPr>
          <w:rFonts w:ascii="Rubik" w:hAnsi="Rubik" w:cs="Rubik"/>
        </w:rPr>
        <w:t xml:space="preserve"> </w:t>
      </w:r>
      <w:r w:rsidRPr="00FD7EBB">
        <w:rPr>
          <w:rFonts w:ascii="Rubik" w:hAnsi="Rubik" w:cs="Rubik"/>
        </w:rPr>
        <w:t xml:space="preserve">el consumo de </w:t>
      </w:r>
      <w:r w:rsidR="00DD4577">
        <w:rPr>
          <w:rFonts w:ascii="Rubik" w:hAnsi="Rubik" w:cs="Rubik"/>
        </w:rPr>
        <w:t>lácteos</w:t>
      </w:r>
      <w:r w:rsidR="003C0CD6">
        <w:rPr>
          <w:rFonts w:ascii="Rubik" w:hAnsi="Rubik" w:cs="Rubik"/>
        </w:rPr>
        <w:t>, especialmente</w:t>
      </w:r>
      <w:r w:rsidR="00DD4577">
        <w:rPr>
          <w:rFonts w:ascii="Rubik" w:hAnsi="Rubik" w:cs="Rubik"/>
        </w:rPr>
        <w:t xml:space="preserve"> </w:t>
      </w:r>
      <w:r w:rsidR="003C0CD6">
        <w:rPr>
          <w:rFonts w:ascii="Rubik" w:hAnsi="Rubik" w:cs="Rubik"/>
        </w:rPr>
        <w:t xml:space="preserve">los </w:t>
      </w:r>
      <w:r w:rsidR="005704D7">
        <w:rPr>
          <w:rFonts w:ascii="Rubik" w:hAnsi="Rubik" w:cs="Rubik"/>
        </w:rPr>
        <w:t xml:space="preserve">enteros y altos en grasa, como </w:t>
      </w:r>
      <w:r w:rsidRPr="00FD7EBB">
        <w:rPr>
          <w:rFonts w:ascii="Rubik" w:hAnsi="Rubik" w:cs="Rubik"/>
        </w:rPr>
        <w:t>yogures y quesos frescos</w:t>
      </w:r>
      <w:r w:rsidR="00B42D65">
        <w:rPr>
          <w:rFonts w:ascii="Rubik" w:hAnsi="Rubik" w:cs="Rubik"/>
        </w:rPr>
        <w:t>,</w:t>
      </w:r>
      <w:r w:rsidRPr="00FD7EBB">
        <w:rPr>
          <w:rFonts w:ascii="Rubik" w:hAnsi="Rubik" w:cs="Rubik"/>
        </w:rPr>
        <w:t xml:space="preserve"> es especialmente eficaz</w:t>
      </w:r>
      <w:r w:rsidR="00B42D65">
        <w:rPr>
          <w:rFonts w:ascii="Rubik" w:hAnsi="Rubik" w:cs="Rubik"/>
        </w:rPr>
        <w:t>;</w:t>
      </w:r>
      <w:r w:rsidRPr="00FD7EBB">
        <w:rPr>
          <w:rFonts w:ascii="Rubik" w:hAnsi="Rubik" w:cs="Rubik"/>
        </w:rPr>
        <w:t xml:space="preserve"> aunque también la leche en cantidades moderadas ofrece una asociación positiva con la salud cardiovascular</w:t>
      </w:r>
      <w:r w:rsidR="0008762E" w:rsidRPr="0008762E">
        <w:rPr>
          <w:rFonts w:ascii="Rubik" w:hAnsi="Rubik" w:cs="Rubik"/>
        </w:rPr>
        <w:t>.</w:t>
      </w:r>
    </w:p>
    <w:p w14:paraId="68467908" w14:textId="77777777" w:rsidR="00FD7EBB" w:rsidRDefault="00FD7EBB" w:rsidP="0008762E">
      <w:pPr>
        <w:jc w:val="both"/>
        <w:rPr>
          <w:rFonts w:ascii="Rubik" w:hAnsi="Rubik" w:cs="Rubik"/>
          <w:b/>
          <w:bCs/>
        </w:rPr>
      </w:pPr>
      <w:r w:rsidRPr="00FD7EBB">
        <w:rPr>
          <w:rFonts w:ascii="Rubik" w:hAnsi="Rubik" w:cs="Rubik"/>
          <w:b/>
          <w:bCs/>
        </w:rPr>
        <w:t>Implicaciones en la prevención de la hipertensión</w:t>
      </w:r>
    </w:p>
    <w:p w14:paraId="479D2276" w14:textId="77777777" w:rsidR="00683856" w:rsidRDefault="00FD7EBB" w:rsidP="00683856">
      <w:pPr>
        <w:jc w:val="both"/>
        <w:rPr>
          <w:rFonts w:ascii="Rubik" w:hAnsi="Rubik" w:cs="Rubik"/>
        </w:rPr>
      </w:pPr>
      <w:r w:rsidRPr="00FD7EBB">
        <w:rPr>
          <w:rFonts w:ascii="Rubik" w:hAnsi="Rubik" w:cs="Rubik"/>
        </w:rPr>
        <w:t xml:space="preserve">El metaanálisis señala que la incorporación de lácteos a la dieta puede tener un impacto similar al de otras recomendaciones nutricionales ya consolidadas, como incrementar la ingesta de frutas y verduras. </w:t>
      </w:r>
    </w:p>
    <w:p w14:paraId="7B88D0FE" w14:textId="5E60EE26" w:rsidR="0008762E" w:rsidRPr="0008762E" w:rsidRDefault="00FD7EBB" w:rsidP="00683856">
      <w:pPr>
        <w:jc w:val="both"/>
        <w:rPr>
          <w:rFonts w:ascii="Rubik" w:hAnsi="Rubik" w:cs="Rubik"/>
        </w:rPr>
      </w:pPr>
      <w:r w:rsidRPr="00FD7EBB">
        <w:rPr>
          <w:rFonts w:ascii="Rubik" w:hAnsi="Rubik" w:cs="Rubik"/>
        </w:rPr>
        <w:t xml:space="preserve">Tal y como subraya la </w:t>
      </w:r>
      <w:r w:rsidRPr="001E62A3">
        <w:rPr>
          <w:rFonts w:ascii="Rubik" w:hAnsi="Rubik" w:cs="Rubik"/>
          <w:b/>
          <w:bCs/>
        </w:rPr>
        <w:t xml:space="preserve">Dra. María José Soto, </w:t>
      </w:r>
      <w:r w:rsidR="00683856" w:rsidRPr="00683856">
        <w:rPr>
          <w:rFonts w:ascii="Rubik" w:hAnsi="Rubik" w:cs="Rubik"/>
          <w:b/>
          <w:bCs/>
        </w:rPr>
        <w:t>Doctora en Nutrición y Ciencia de los Alimentos por la Universidad de Granada</w:t>
      </w:r>
      <w:r w:rsidR="00683856">
        <w:rPr>
          <w:rFonts w:ascii="Rubik" w:hAnsi="Rubik" w:cs="Rubik"/>
          <w:b/>
          <w:bCs/>
        </w:rPr>
        <w:t xml:space="preserve"> y c</w:t>
      </w:r>
      <w:r w:rsidR="00683856" w:rsidRPr="00683856">
        <w:rPr>
          <w:rFonts w:ascii="Rubik" w:hAnsi="Rubik" w:cs="Rubik"/>
          <w:b/>
          <w:bCs/>
        </w:rPr>
        <w:t xml:space="preserve">olaboradora de la Fundación Iberoamericana de Nutrición </w:t>
      </w:r>
      <w:r w:rsidR="00683856">
        <w:rPr>
          <w:rFonts w:ascii="Rubik" w:hAnsi="Rubik" w:cs="Rubik"/>
          <w:b/>
          <w:bCs/>
        </w:rPr>
        <w:t>(</w:t>
      </w:r>
      <w:r w:rsidR="00683856" w:rsidRPr="00683856">
        <w:rPr>
          <w:rFonts w:ascii="Rubik" w:hAnsi="Rubik" w:cs="Rubik"/>
          <w:b/>
          <w:bCs/>
        </w:rPr>
        <w:t>FINUT</w:t>
      </w:r>
      <w:r w:rsidR="00683856">
        <w:rPr>
          <w:rFonts w:ascii="Rubik" w:hAnsi="Rubik" w:cs="Rubik"/>
          <w:b/>
          <w:bCs/>
        </w:rPr>
        <w:t>)</w:t>
      </w:r>
      <w:r w:rsidRPr="00FD7EBB">
        <w:rPr>
          <w:rFonts w:ascii="Rubik" w:hAnsi="Rubik" w:cs="Rubik"/>
        </w:rPr>
        <w:t>, “</w:t>
      </w:r>
      <w:r w:rsidRPr="001E62A3">
        <w:rPr>
          <w:rFonts w:ascii="Rubik" w:hAnsi="Rubik" w:cs="Rubik"/>
          <w:i/>
          <w:iCs/>
        </w:rPr>
        <w:t>este trabajo ofrece una base científica robusta que actualiza y amplía nuestro conocimiento sobre los lácteos. Nos recuerda que, además de aportar proteínas y minerales, contienen compuestos capaces de modular procesos biológicos clave para la salud cardiovascular. Este tipo de evidencia es fundamental para orientar recomendaciones dietéticas más ajustadas a los grandes retos de salud pública, como la hipertensión</w:t>
      </w:r>
      <w:r w:rsidRPr="00FD7EBB">
        <w:rPr>
          <w:rFonts w:ascii="Rubik" w:hAnsi="Rubik" w:cs="Rubik"/>
        </w:rPr>
        <w:t>”</w:t>
      </w:r>
      <w:r w:rsidR="0008762E" w:rsidRPr="0008762E">
        <w:rPr>
          <w:rFonts w:ascii="Rubik" w:hAnsi="Rubik" w:cs="Rubik"/>
        </w:rPr>
        <w:t>.</w:t>
      </w:r>
    </w:p>
    <w:p w14:paraId="66EA13A3" w14:textId="77777777" w:rsidR="005246BF" w:rsidRDefault="005246BF" w:rsidP="0008762E">
      <w:pPr>
        <w:jc w:val="both"/>
        <w:rPr>
          <w:rFonts w:ascii="Rubik" w:hAnsi="Rubik" w:cs="Rubik"/>
          <w:b/>
          <w:bCs/>
        </w:rPr>
      </w:pPr>
      <w:r w:rsidRPr="005246BF">
        <w:rPr>
          <w:rFonts w:ascii="Rubik" w:hAnsi="Rubik" w:cs="Rubik"/>
          <w:b/>
          <w:bCs/>
        </w:rPr>
        <w:t>Consumo desigual y reto global de acceso</w:t>
      </w:r>
    </w:p>
    <w:p w14:paraId="2C232DE6" w14:textId="5B7264FB" w:rsidR="005246BF" w:rsidRPr="005246BF" w:rsidRDefault="005246BF" w:rsidP="005246BF">
      <w:pPr>
        <w:jc w:val="both"/>
        <w:rPr>
          <w:rFonts w:ascii="Rubik" w:hAnsi="Rubik" w:cs="Rubik"/>
        </w:rPr>
      </w:pPr>
      <w:r w:rsidRPr="005246BF">
        <w:rPr>
          <w:rFonts w:ascii="Rubik" w:hAnsi="Rubik" w:cs="Rubik"/>
        </w:rPr>
        <w:t>Pese a la solidez de la evidencia, los hábitos de consumo de lácteos son muy desiguales a nivel global. En países de renta baja y media, con ingestas todavía insuficientes, millones de personas podrían no estar beneficiándose de sus efectos protectores.</w:t>
      </w:r>
      <w:r w:rsidR="00D21706">
        <w:rPr>
          <w:rFonts w:ascii="Rubik" w:hAnsi="Rubik" w:cs="Rubik"/>
        </w:rPr>
        <w:t xml:space="preserve"> </w:t>
      </w:r>
      <w:r w:rsidR="00D21706" w:rsidRPr="00D21706">
        <w:rPr>
          <w:rFonts w:ascii="Rubik" w:hAnsi="Rubik" w:cs="Rubik"/>
        </w:rPr>
        <w:t>En las sociedades de renta alta, en cambio, donde el consumo es mayor, la prioridad pasa por promover un consumo equilibrado y adaptado a las necesidades de cada etapa de la vida, de manera que los beneficios nutricionales de los lácteos se integren en una dieta variada y saludable.</w:t>
      </w:r>
    </w:p>
    <w:p w14:paraId="5CA497F6" w14:textId="77777777" w:rsidR="005246BF" w:rsidRPr="005246BF" w:rsidRDefault="005246BF" w:rsidP="005246BF">
      <w:pPr>
        <w:jc w:val="both"/>
        <w:rPr>
          <w:rFonts w:ascii="Rubik" w:hAnsi="Rubik" w:cs="Rubik"/>
        </w:rPr>
      </w:pPr>
    </w:p>
    <w:p w14:paraId="303A338D" w14:textId="77777777" w:rsidR="005246BF" w:rsidRDefault="005246BF" w:rsidP="005246BF">
      <w:pPr>
        <w:jc w:val="both"/>
        <w:rPr>
          <w:rFonts w:ascii="Rubik" w:hAnsi="Rubik" w:cs="Rubik"/>
        </w:rPr>
      </w:pPr>
      <w:r w:rsidRPr="005246BF">
        <w:rPr>
          <w:rFonts w:ascii="Rubik" w:hAnsi="Rubik" w:cs="Rubik"/>
        </w:rPr>
        <w:lastRenderedPageBreak/>
        <w:t>El estudio concluye que promover un consumo regular y equilibrado de lácteos, adaptado a cada contexto cultural, puede contribuir significativamente al control de la presión arterial y reducir la incidencia de enfermedades cardiovasculares. Lejos de ser un alimento controvertido, los lácteos se consolidan como un componente esencial de la dieta cardiosaludable.</w:t>
      </w:r>
    </w:p>
    <w:p w14:paraId="206EBC8D" w14:textId="77777777" w:rsidR="00CE4A9A" w:rsidRPr="00CE4A9A" w:rsidRDefault="00CE4A9A" w:rsidP="005246BF">
      <w:pPr>
        <w:jc w:val="both"/>
        <w:rPr>
          <w:rFonts w:ascii="Rubik" w:hAnsi="Rubik" w:cs="Rubik"/>
          <w:b/>
          <w:bCs/>
        </w:rPr>
      </w:pPr>
      <w:r w:rsidRPr="00CE4A9A">
        <w:rPr>
          <w:rFonts w:ascii="Rubik" w:hAnsi="Rubik" w:cs="Rubik"/>
          <w:b/>
          <w:bCs/>
        </w:rPr>
        <w:t>Una enfermedad silenciosa con fuerte impacto en España</w:t>
      </w:r>
    </w:p>
    <w:p w14:paraId="0E3BE771" w14:textId="0E85071E" w:rsidR="004F2067" w:rsidRDefault="004F2067" w:rsidP="005246BF">
      <w:pPr>
        <w:jc w:val="both"/>
        <w:rPr>
          <w:rFonts w:ascii="Rubik" w:hAnsi="Rubik" w:cs="Rubik"/>
        </w:rPr>
      </w:pPr>
      <w:r w:rsidRPr="004F2067">
        <w:rPr>
          <w:rFonts w:ascii="Rubik" w:hAnsi="Rubik" w:cs="Rubik"/>
        </w:rPr>
        <w:t>En España, la prevención de la hipertensión es uno de los mayores desafíos sanitarios. Según datos del Ministerio de Sanidad y de la Sociedad Española de Cardiología, más de 10 millones de adultos</w:t>
      </w:r>
      <w:r w:rsidR="002E4491">
        <w:rPr>
          <w:rFonts w:ascii="Rubik" w:hAnsi="Rubik" w:cs="Rubik"/>
        </w:rPr>
        <w:t xml:space="preserve"> </w:t>
      </w:r>
      <w:r w:rsidRPr="004F2067">
        <w:rPr>
          <w:rFonts w:ascii="Rubik" w:hAnsi="Rubik" w:cs="Rubik"/>
        </w:rPr>
        <w:t>conviven con esta enfermedad, responsable de unas 46.000 muertes anuales evitables</w:t>
      </w:r>
      <w:r w:rsidR="002E4491">
        <w:rPr>
          <w:rStyle w:val="Refdenotaalpie"/>
          <w:rFonts w:ascii="Rubik" w:hAnsi="Rubik" w:cs="Rubik"/>
        </w:rPr>
        <w:footnoteReference w:id="1"/>
      </w:r>
      <w:r w:rsidR="002E4491">
        <w:rPr>
          <w:rFonts w:ascii="Rubik" w:hAnsi="Rubik" w:cs="Rubik"/>
        </w:rPr>
        <w:t xml:space="preserve"> </w:t>
      </w:r>
      <w:r w:rsidR="00F21A86">
        <w:rPr>
          <w:rStyle w:val="Refdenotaalpie"/>
          <w:rFonts w:ascii="Rubik" w:hAnsi="Rubik" w:cs="Rubik"/>
        </w:rPr>
        <w:footnoteReference w:id="2"/>
      </w:r>
      <w:r w:rsidR="00433387">
        <w:rPr>
          <w:rFonts w:ascii="Rubik" w:hAnsi="Rubik" w:cs="Rubik"/>
        </w:rPr>
        <w:t xml:space="preserve"> </w:t>
      </w:r>
      <w:r w:rsidR="00F21A86">
        <w:rPr>
          <w:rStyle w:val="Refdenotaalpie"/>
          <w:rFonts w:ascii="Rubik" w:hAnsi="Rubik" w:cs="Rubik"/>
        </w:rPr>
        <w:footnoteReference w:id="3"/>
      </w:r>
      <w:r w:rsidRPr="004F2067">
        <w:rPr>
          <w:rFonts w:ascii="Rubik" w:hAnsi="Rubik" w:cs="Rubik"/>
        </w:rPr>
        <w:t>. La OMS advierte de que un tercio de los pacientes no tiene la tensión controlada, en muchos casos porque desconoce su condición. Frente a esta realidad, la promoción de hábitos de vida saludables —como la dieta mediterránea, el control de la sal y la incorporación de alimentos protectores como los lácteos— resulta clave para frenar una patología silenciosa que está detrás de la mayoría de ictus, infartos y demencias.</w:t>
      </w:r>
    </w:p>
    <w:p w14:paraId="4906D665" w14:textId="77777777" w:rsidR="008826F9" w:rsidRDefault="00683856" w:rsidP="005246BF">
      <w:pPr>
        <w:jc w:val="both"/>
        <w:rPr>
          <w:rFonts w:ascii="Rubik" w:hAnsi="Rubik" w:cs="Rubik"/>
        </w:rPr>
      </w:pPr>
      <w:r w:rsidRPr="008826F9">
        <w:rPr>
          <w:rFonts w:ascii="Rubik" w:hAnsi="Rubik" w:cs="Rubik"/>
          <w:b/>
          <w:bCs/>
        </w:rPr>
        <w:t>Acceso al estudio</w:t>
      </w:r>
    </w:p>
    <w:p w14:paraId="19E5D48A" w14:textId="40756737" w:rsidR="00683856" w:rsidRDefault="008826F9" w:rsidP="008826F9">
      <w:pPr>
        <w:pStyle w:val="Prrafodelista"/>
        <w:numPr>
          <w:ilvl w:val="0"/>
          <w:numId w:val="2"/>
        </w:numPr>
        <w:jc w:val="both"/>
        <w:rPr>
          <w:rFonts w:ascii="Rubik" w:hAnsi="Rubik" w:cs="Rubik"/>
        </w:rPr>
      </w:pPr>
      <w:r>
        <w:rPr>
          <w:rFonts w:ascii="Rubik" w:hAnsi="Rubik" w:cs="Rubik"/>
        </w:rPr>
        <w:t xml:space="preserve">Reseña en “Un vaso de ciencia”, del Instituto Puleva de Nutrición: </w:t>
      </w:r>
      <w:hyperlink r:id="rId8" w:history="1">
        <w:r w:rsidR="003A4A54" w:rsidRPr="0097493B">
          <w:rPr>
            <w:rStyle w:val="Hipervnculo"/>
            <w:rFonts w:ascii="Rubik" w:hAnsi="Rubik" w:cs="Rubik"/>
          </w:rPr>
          <w:t>https://blog.institutopulevanutricion.es/2025/07/22/lacteos-tension-arterial/</w:t>
        </w:r>
      </w:hyperlink>
    </w:p>
    <w:p w14:paraId="7073A8C3" w14:textId="77777777" w:rsidR="003A4A54" w:rsidRDefault="003A4A54" w:rsidP="003A4A54">
      <w:pPr>
        <w:pStyle w:val="Prrafodelista"/>
        <w:jc w:val="both"/>
        <w:rPr>
          <w:rFonts w:ascii="Rubik" w:hAnsi="Rubik" w:cs="Rubik"/>
        </w:rPr>
      </w:pPr>
    </w:p>
    <w:p w14:paraId="5F99E197" w14:textId="5A163CB9" w:rsidR="003A4A54" w:rsidRDefault="003A4A54" w:rsidP="008826F9">
      <w:pPr>
        <w:pStyle w:val="Prrafodelista"/>
        <w:numPr>
          <w:ilvl w:val="0"/>
          <w:numId w:val="2"/>
        </w:numPr>
        <w:jc w:val="both"/>
        <w:rPr>
          <w:rFonts w:ascii="Rubik" w:hAnsi="Rubik" w:cs="Rubik"/>
        </w:rPr>
      </w:pPr>
      <w:r>
        <w:rPr>
          <w:rFonts w:ascii="Rubik" w:hAnsi="Rubik" w:cs="Rubik"/>
        </w:rPr>
        <w:t xml:space="preserve">Acceso directo al estudio original en la revista científica </w:t>
      </w:r>
      <w:r w:rsidRPr="003A4A54">
        <w:rPr>
          <w:rFonts w:ascii="Rubik" w:hAnsi="Rubik" w:cs="Rubik"/>
          <w:i/>
          <w:iCs/>
        </w:rPr>
        <w:t>Hypertension Research</w:t>
      </w:r>
      <w:r>
        <w:rPr>
          <w:rFonts w:ascii="Rubik" w:hAnsi="Rubik" w:cs="Rubik"/>
        </w:rPr>
        <w:t xml:space="preserve">: </w:t>
      </w:r>
      <w:hyperlink r:id="rId9" w:history="1">
        <w:r w:rsidRPr="0097493B">
          <w:rPr>
            <w:rStyle w:val="Hipervnculo"/>
            <w:rFonts w:ascii="Rubik" w:hAnsi="Rubik" w:cs="Rubik"/>
          </w:rPr>
          <w:t>https://www.nature.com/articles/s41440-024-02088-6</w:t>
        </w:r>
      </w:hyperlink>
    </w:p>
    <w:p w14:paraId="22247800" w14:textId="77777777" w:rsidR="003A4A54" w:rsidRPr="003A4A54" w:rsidRDefault="003A4A54" w:rsidP="003A4A54">
      <w:pPr>
        <w:pStyle w:val="Prrafodelista"/>
        <w:rPr>
          <w:rFonts w:ascii="Rubik" w:hAnsi="Rubik" w:cs="Rubik"/>
        </w:rPr>
      </w:pPr>
    </w:p>
    <w:p w14:paraId="695A1482" w14:textId="77777777" w:rsidR="003A4A54" w:rsidRDefault="003A4A54" w:rsidP="0008762E">
      <w:pPr>
        <w:jc w:val="both"/>
        <w:rPr>
          <w:rFonts w:ascii="Rubik" w:hAnsi="Rubik" w:cs="Rubik"/>
          <w:b/>
          <w:bCs/>
          <w:color w:val="002060"/>
          <w:sz w:val="18"/>
          <w:szCs w:val="18"/>
        </w:rPr>
      </w:pPr>
    </w:p>
    <w:p w14:paraId="1EB011D3" w14:textId="19804815" w:rsidR="0008762E" w:rsidRPr="00604451" w:rsidRDefault="0008762E" w:rsidP="0008762E">
      <w:pPr>
        <w:jc w:val="both"/>
        <w:rPr>
          <w:rFonts w:ascii="Rubik" w:hAnsi="Rubik" w:cs="Rubik"/>
          <w:b/>
          <w:bCs/>
          <w:color w:val="002060"/>
          <w:sz w:val="18"/>
          <w:szCs w:val="18"/>
        </w:rPr>
      </w:pPr>
      <w:r w:rsidRPr="00604451">
        <w:rPr>
          <w:rFonts w:ascii="Rubik" w:hAnsi="Rubik" w:cs="Rubik"/>
          <w:b/>
          <w:bCs/>
          <w:noProof/>
          <w:color w:val="002060"/>
          <w:sz w:val="18"/>
          <w:szCs w:val="18"/>
        </w:rPr>
        <w:drawing>
          <wp:anchor distT="0" distB="0" distL="114300" distR="114300" simplePos="0" relativeHeight="251660288" behindDoc="1" locked="0" layoutInCell="1" allowOverlap="1" wp14:anchorId="248A5A27" wp14:editId="7EB4876E">
            <wp:simplePos x="0" y="0"/>
            <wp:positionH relativeFrom="margin">
              <wp:align>left</wp:align>
            </wp:positionH>
            <wp:positionV relativeFrom="paragraph">
              <wp:posOffset>168275</wp:posOffset>
            </wp:positionV>
            <wp:extent cx="2514600" cy="125730"/>
            <wp:effectExtent l="0" t="0" r="0" b="7620"/>
            <wp:wrapTight wrapText="bothSides">
              <wp:wrapPolygon edited="0">
                <wp:start x="0" y="0"/>
                <wp:lineTo x="0" y="19636"/>
                <wp:lineTo x="21273" y="19636"/>
                <wp:lineTo x="21273" y="0"/>
                <wp:lineTo x="0" y="0"/>
              </wp:wrapPolygon>
            </wp:wrapTight>
            <wp:docPr id="14320093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986959" name=""/>
                    <pic:cNvPicPr/>
                  </pic:nvPicPr>
                  <pic:blipFill>
                    <a:blip r:embed="rId10">
                      <a:extLst>
                        <a:ext uri="{28A0092B-C50C-407E-A947-70E740481C1C}">
                          <a14:useLocalDpi xmlns:a14="http://schemas.microsoft.com/office/drawing/2010/main" val="0"/>
                        </a:ext>
                      </a:extLst>
                    </a:blip>
                    <a:stretch>
                      <a:fillRect/>
                    </a:stretch>
                  </pic:blipFill>
                  <pic:spPr>
                    <a:xfrm>
                      <a:off x="0" y="0"/>
                      <a:ext cx="2599320" cy="130467"/>
                    </a:xfrm>
                    <a:prstGeom prst="rect">
                      <a:avLst/>
                    </a:prstGeom>
                  </pic:spPr>
                </pic:pic>
              </a:graphicData>
            </a:graphic>
            <wp14:sizeRelH relativeFrom="page">
              <wp14:pctWidth>0</wp14:pctWidth>
            </wp14:sizeRelH>
            <wp14:sizeRelV relativeFrom="page">
              <wp14:pctHeight>0</wp14:pctHeight>
            </wp14:sizeRelV>
          </wp:anchor>
        </w:drawing>
      </w:r>
      <w:r w:rsidRPr="00604451">
        <w:rPr>
          <w:rFonts w:ascii="Rubik" w:hAnsi="Rubik" w:cs="Rubik"/>
          <w:b/>
          <w:bCs/>
          <w:color w:val="002060"/>
          <w:sz w:val="18"/>
          <w:szCs w:val="18"/>
        </w:rPr>
        <w:t xml:space="preserve">Sobre </w:t>
      </w:r>
      <w:r>
        <w:rPr>
          <w:rFonts w:ascii="Rubik" w:hAnsi="Rubik" w:cs="Rubik"/>
          <w:b/>
          <w:bCs/>
          <w:color w:val="002060"/>
          <w:sz w:val="18"/>
          <w:szCs w:val="18"/>
        </w:rPr>
        <w:t>INSTITUTO PULEVA DE NUTRICIÓN</w:t>
      </w:r>
    </w:p>
    <w:p w14:paraId="63A88EA3" w14:textId="77777777" w:rsidR="0008762E" w:rsidRDefault="0008762E" w:rsidP="0008762E">
      <w:pPr>
        <w:spacing w:after="0" w:line="240" w:lineRule="auto"/>
        <w:jc w:val="both"/>
        <w:rPr>
          <w:rFonts w:ascii="Rubik" w:hAnsi="Rubik" w:cs="Rubik"/>
          <w:bCs/>
          <w:sz w:val="18"/>
          <w:szCs w:val="18"/>
        </w:rPr>
      </w:pPr>
    </w:p>
    <w:p w14:paraId="5B263C3E" w14:textId="19A19494" w:rsidR="00EF3082" w:rsidRPr="00EF3082" w:rsidRDefault="00EF3082" w:rsidP="00EF3082">
      <w:pPr>
        <w:jc w:val="both"/>
        <w:rPr>
          <w:rFonts w:ascii="Rubik" w:eastAsia="Rubik" w:hAnsi="Rubik" w:cs="Rubik"/>
          <w:color w:val="002060"/>
          <w:sz w:val="18"/>
          <w:szCs w:val="18"/>
        </w:rPr>
      </w:pPr>
      <w:r w:rsidRPr="00EF3082">
        <w:rPr>
          <w:rFonts w:ascii="Rubik" w:eastAsia="Rubik" w:hAnsi="Rubik" w:cs="Rubik"/>
          <w:color w:val="002060"/>
          <w:sz w:val="18"/>
          <w:szCs w:val="18"/>
        </w:rPr>
        <w:t>Desde su creación en 2014, el Instituto Puleva de Nutrición (IPN) se ha convertido en un referente científico y divulgativo en España, promoviendo hábitos de vida saludables a través de la investigación, formación y comunicación rigurosa. Más de una década de trabajo avala su contribución con iniciativas pioneras como el Estudio EsNuPI sobre alimentación infantil, herramientas de autoevaluación como el Calciómetro Plus, campañas de sensibilización como el “Movimiento Corazones Contentos” o “Decisiones con Datos”, o espacios de divulgación como el blog "Un vaso de ciencia", que acerca el conocimiento científico a miles de profesionales y familias.</w:t>
      </w:r>
      <w:r>
        <w:rPr>
          <w:rFonts w:ascii="Rubik" w:eastAsia="Rubik" w:hAnsi="Rubik" w:cs="Rubik"/>
          <w:color w:val="002060"/>
          <w:sz w:val="18"/>
          <w:szCs w:val="18"/>
        </w:rPr>
        <w:t xml:space="preserve"> </w:t>
      </w:r>
      <w:r w:rsidRPr="00EF3082">
        <w:rPr>
          <w:rFonts w:ascii="Rubik" w:eastAsia="Rubik" w:hAnsi="Rubik" w:cs="Rubik"/>
          <w:color w:val="002060"/>
          <w:sz w:val="18"/>
          <w:szCs w:val="18"/>
        </w:rPr>
        <w:t>El compromiso del IPN con el avance de la nutrición ha sido reconocido en 2024 con el Premio Estrategia NAOS, modalidad de Iniciativa Empresarial, y un Primer Accésit, por su papel destacado durante más de 10 años en el impulso de la investigación, la promoción de hábitos de vida saludables y la divulgación científica accesible para toda la sociedad.</w:t>
      </w:r>
    </w:p>
    <w:p w14:paraId="720703CD" w14:textId="40FF066D" w:rsidR="00EF3082" w:rsidRPr="00EF3082" w:rsidRDefault="00EF3082" w:rsidP="00EF3082">
      <w:pPr>
        <w:jc w:val="both"/>
        <w:rPr>
          <w:rFonts w:ascii="Rubik" w:eastAsia="Rubik" w:hAnsi="Rubik" w:cs="Rubik"/>
          <w:color w:val="002060"/>
          <w:sz w:val="18"/>
          <w:szCs w:val="18"/>
        </w:rPr>
      </w:pPr>
      <w:r w:rsidRPr="00EF3082">
        <w:rPr>
          <w:rFonts w:ascii="Rubik" w:eastAsia="Rubik" w:hAnsi="Rubik" w:cs="Rubik"/>
          <w:color w:val="002060"/>
          <w:sz w:val="18"/>
          <w:szCs w:val="18"/>
        </w:rPr>
        <w:t>A través de su enfoque multisectorial, su apuesta por la sostenibilidad y su colaboración continua con más de 35 entidades de investigación, universidades, sociedades científicas e instituciones públicas, el Instituto Puleva de Nutrición fortalece la conexión entre ciencia, industria alimentaria y ciudadanía, contribuyendo activamente al desarrollo de productos lácteos adaptados a las necesidades reales de la población.</w:t>
      </w:r>
      <w:r>
        <w:rPr>
          <w:rFonts w:ascii="Rubik" w:eastAsia="Rubik" w:hAnsi="Rubik" w:cs="Rubik"/>
          <w:color w:val="002060"/>
          <w:sz w:val="18"/>
          <w:szCs w:val="18"/>
        </w:rPr>
        <w:t xml:space="preserve"> </w:t>
      </w:r>
      <w:r w:rsidRPr="00EF3082">
        <w:rPr>
          <w:rFonts w:ascii="Rubik" w:eastAsia="Rubik" w:hAnsi="Rubik" w:cs="Rubik"/>
          <w:color w:val="002060"/>
          <w:sz w:val="18"/>
          <w:szCs w:val="18"/>
        </w:rPr>
        <w:t>El Instituto cuenta con la asesoría permanente de un comité científico, integrado por algunos de los expertos más prestigiosos a nivel nacional e internacional. Este comité garantiza el rigor científico de todas sus acciones, que se complementan con una apuesta constante por la innovación en la producción de materiales científicos y una firme voluntad de generar diálogo social en torno a la nutrición y la salud.</w:t>
      </w:r>
    </w:p>
    <w:p w14:paraId="081C462F" w14:textId="77777777" w:rsidR="0008762E" w:rsidRDefault="0008762E" w:rsidP="0008762E">
      <w:pPr>
        <w:jc w:val="both"/>
        <w:rPr>
          <w:rFonts w:ascii="Rubik" w:hAnsi="Rubik" w:cs="Rubik"/>
          <w:b/>
          <w:bCs/>
          <w:color w:val="002060"/>
          <w:sz w:val="18"/>
          <w:szCs w:val="18"/>
        </w:rPr>
      </w:pPr>
    </w:p>
    <w:p w14:paraId="3870D70F" w14:textId="31C24379" w:rsidR="00F90B05" w:rsidRPr="00604451" w:rsidRDefault="0008762E" w:rsidP="0008762E">
      <w:pPr>
        <w:jc w:val="both"/>
        <w:rPr>
          <w:rFonts w:ascii="Rubik" w:hAnsi="Rubik" w:cs="Rubik"/>
          <w:b/>
          <w:bCs/>
          <w:color w:val="002060"/>
          <w:sz w:val="18"/>
          <w:szCs w:val="18"/>
        </w:rPr>
      </w:pPr>
      <w:r w:rsidRPr="00604451">
        <w:rPr>
          <w:rFonts w:ascii="Rubik" w:hAnsi="Rubik" w:cs="Rubik"/>
          <w:b/>
          <w:bCs/>
          <w:noProof/>
          <w:color w:val="002060"/>
          <w:sz w:val="18"/>
          <w:szCs w:val="18"/>
        </w:rPr>
        <w:lastRenderedPageBreak/>
        <w:drawing>
          <wp:anchor distT="0" distB="0" distL="114300" distR="114300" simplePos="0" relativeHeight="251658240" behindDoc="1" locked="0" layoutInCell="1" allowOverlap="1" wp14:anchorId="5BF71A96" wp14:editId="04A34889">
            <wp:simplePos x="0" y="0"/>
            <wp:positionH relativeFrom="margin">
              <wp:align>left</wp:align>
            </wp:positionH>
            <wp:positionV relativeFrom="paragraph">
              <wp:posOffset>213995</wp:posOffset>
            </wp:positionV>
            <wp:extent cx="1973580" cy="99060"/>
            <wp:effectExtent l="0" t="0" r="7620" b="0"/>
            <wp:wrapTight wrapText="bothSides">
              <wp:wrapPolygon edited="0">
                <wp:start x="0" y="0"/>
                <wp:lineTo x="0" y="16615"/>
                <wp:lineTo x="21475" y="16615"/>
                <wp:lineTo x="21475" y="0"/>
                <wp:lineTo x="0" y="0"/>
              </wp:wrapPolygon>
            </wp:wrapTight>
            <wp:docPr id="25098695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986959" name=""/>
                    <pic:cNvPicPr/>
                  </pic:nvPicPr>
                  <pic:blipFill>
                    <a:blip r:embed="rId10">
                      <a:extLst>
                        <a:ext uri="{28A0092B-C50C-407E-A947-70E740481C1C}">
                          <a14:useLocalDpi xmlns:a14="http://schemas.microsoft.com/office/drawing/2010/main" val="0"/>
                        </a:ext>
                      </a:extLst>
                    </a:blip>
                    <a:stretch>
                      <a:fillRect/>
                    </a:stretch>
                  </pic:blipFill>
                  <pic:spPr>
                    <a:xfrm>
                      <a:off x="0" y="0"/>
                      <a:ext cx="1973580" cy="99060"/>
                    </a:xfrm>
                    <a:prstGeom prst="rect">
                      <a:avLst/>
                    </a:prstGeom>
                  </pic:spPr>
                </pic:pic>
              </a:graphicData>
            </a:graphic>
            <wp14:sizeRelH relativeFrom="page">
              <wp14:pctWidth>0</wp14:pctWidth>
            </wp14:sizeRelH>
            <wp14:sizeRelV relativeFrom="page">
              <wp14:pctHeight>0</wp14:pctHeight>
            </wp14:sizeRelV>
          </wp:anchor>
        </w:drawing>
      </w:r>
      <w:r w:rsidR="00F90B05" w:rsidRPr="00604451">
        <w:rPr>
          <w:rFonts w:ascii="Rubik" w:hAnsi="Rubik" w:cs="Rubik"/>
          <w:b/>
          <w:bCs/>
          <w:color w:val="002060"/>
          <w:sz w:val="18"/>
          <w:szCs w:val="18"/>
        </w:rPr>
        <w:t>Sobre LACTALIS ESPAÑA</w:t>
      </w:r>
    </w:p>
    <w:p w14:paraId="68999B7F" w14:textId="5C9A97E6" w:rsidR="00F90B05" w:rsidRDefault="00F90B05" w:rsidP="00AD0466">
      <w:pPr>
        <w:spacing w:after="0" w:line="240" w:lineRule="auto"/>
        <w:jc w:val="both"/>
        <w:rPr>
          <w:rFonts w:ascii="Rubik" w:hAnsi="Rubik" w:cs="Rubik"/>
          <w:bCs/>
          <w:sz w:val="18"/>
          <w:szCs w:val="18"/>
        </w:rPr>
      </w:pPr>
    </w:p>
    <w:p w14:paraId="4FC99EB8" w14:textId="6EC54E51" w:rsidR="00B13A9B" w:rsidRPr="00CB5D57" w:rsidRDefault="008D46CC" w:rsidP="008D46CC">
      <w:pPr>
        <w:jc w:val="both"/>
        <w:rPr>
          <w:rFonts w:ascii="Rubik" w:eastAsia="Rubik" w:hAnsi="Rubik" w:cs="Rubik"/>
          <w:sz w:val="18"/>
          <w:szCs w:val="18"/>
        </w:rPr>
      </w:pPr>
      <w:r w:rsidRPr="008D46CC">
        <w:rPr>
          <w:rFonts w:ascii="Rubik" w:eastAsia="Rubik" w:hAnsi="Rubik" w:cs="Rubik"/>
          <w:color w:val="002060"/>
          <w:sz w:val="18"/>
          <w:szCs w:val="18"/>
        </w:rPr>
        <w:t xml:space="preserve">Lactalis España es líder del sector lácteo y uno de los principales motores del tejido </w:t>
      </w:r>
      <w:r>
        <w:rPr>
          <w:rFonts w:ascii="Rubik" w:eastAsia="Rubik" w:hAnsi="Rubik" w:cs="Rubik"/>
          <w:color w:val="002060"/>
          <w:sz w:val="18"/>
          <w:szCs w:val="18"/>
        </w:rPr>
        <w:t>socioeconómico español</w:t>
      </w:r>
      <w:r w:rsidRPr="008D46CC">
        <w:rPr>
          <w:rFonts w:ascii="Rubik" w:eastAsia="Rubik" w:hAnsi="Rubik" w:cs="Rubik"/>
          <w:color w:val="002060"/>
          <w:sz w:val="18"/>
          <w:szCs w:val="18"/>
        </w:rPr>
        <w:t xml:space="preserve">, con una contribución directa </w:t>
      </w:r>
      <w:r>
        <w:rPr>
          <w:rFonts w:ascii="Rubik" w:eastAsia="Rubik" w:hAnsi="Rubik" w:cs="Rubik"/>
          <w:color w:val="002060"/>
          <w:sz w:val="18"/>
          <w:szCs w:val="18"/>
        </w:rPr>
        <w:t>superior a</w:t>
      </w:r>
      <w:r w:rsidRPr="008D46CC">
        <w:rPr>
          <w:rFonts w:ascii="Rubik" w:eastAsia="Rubik" w:hAnsi="Rubik" w:cs="Rubik"/>
          <w:color w:val="002060"/>
          <w:sz w:val="18"/>
          <w:szCs w:val="18"/>
        </w:rPr>
        <w:t xml:space="preserve"> 1</w:t>
      </w:r>
      <w:r>
        <w:rPr>
          <w:rFonts w:ascii="Rubik" w:eastAsia="Rubik" w:hAnsi="Rubik" w:cs="Rubik"/>
          <w:color w:val="002060"/>
          <w:sz w:val="18"/>
          <w:szCs w:val="18"/>
        </w:rPr>
        <w:t xml:space="preserve"> </w:t>
      </w:r>
      <w:r w:rsidRPr="008D46CC">
        <w:rPr>
          <w:rFonts w:ascii="Rubik" w:eastAsia="Rubik" w:hAnsi="Rubik" w:cs="Rubik"/>
          <w:color w:val="002060"/>
          <w:sz w:val="18"/>
          <w:szCs w:val="18"/>
        </w:rPr>
        <w:t>000 millones de euros en 2024. Cuenta con 8 plantas</w:t>
      </w:r>
      <w:r>
        <w:rPr>
          <w:rFonts w:ascii="Rubik" w:eastAsia="Rubik" w:hAnsi="Rubik" w:cs="Rubik"/>
          <w:color w:val="002060"/>
          <w:sz w:val="18"/>
          <w:szCs w:val="18"/>
        </w:rPr>
        <w:t xml:space="preserve"> </w:t>
      </w:r>
      <w:r w:rsidRPr="008D46CC">
        <w:rPr>
          <w:rFonts w:ascii="Rubik" w:eastAsia="Rubik" w:hAnsi="Rubik" w:cs="Rubik"/>
          <w:color w:val="002060"/>
          <w:sz w:val="18"/>
          <w:szCs w:val="18"/>
        </w:rPr>
        <w:t xml:space="preserve">—6 en municipios de menos de 25.000 habitantes— y 2.617 profesionales, el 93,8 % con contrato indefinido. Colabora con 1.458 ganaderías en 13 comunidades autónomas, </w:t>
      </w:r>
      <w:r>
        <w:rPr>
          <w:rFonts w:ascii="Rubik" w:eastAsia="Rubik" w:hAnsi="Rubik" w:cs="Rubik"/>
          <w:color w:val="002060"/>
          <w:sz w:val="18"/>
          <w:szCs w:val="18"/>
        </w:rPr>
        <w:t>a</w:t>
      </w:r>
      <w:r w:rsidRPr="008D46CC">
        <w:rPr>
          <w:rFonts w:ascii="Rubik" w:eastAsia="Rubik" w:hAnsi="Rubik" w:cs="Rubik"/>
          <w:color w:val="002060"/>
          <w:sz w:val="18"/>
          <w:szCs w:val="18"/>
        </w:rPr>
        <w:t xml:space="preserve"> las que recogió 993 millones de litros de leche, el 97,7 % con certificación en Bienestar Animal.</w:t>
      </w:r>
      <w:r>
        <w:rPr>
          <w:rFonts w:ascii="Rubik" w:eastAsia="Rubik" w:hAnsi="Rubik" w:cs="Rubik"/>
          <w:color w:val="002060"/>
          <w:sz w:val="18"/>
          <w:szCs w:val="18"/>
        </w:rPr>
        <w:t xml:space="preserve"> </w:t>
      </w:r>
      <w:r w:rsidRPr="008D46CC">
        <w:rPr>
          <w:rFonts w:ascii="Rubik" w:eastAsia="Rubik" w:hAnsi="Rubik" w:cs="Rubik"/>
          <w:color w:val="002060"/>
          <w:sz w:val="18"/>
          <w:szCs w:val="18"/>
        </w:rPr>
        <w:t xml:space="preserve">Sus marcas —Puleva, Président, Galbani, Flor de Esgueva, El Ventero o Chufi—, junto con las gestionadas por la joint-venture Lactalis Nestlé —Yogures Nestlé, La Lechera, Nescafé Latte o YAOS—, están presentes en más de 12 millones de hogares. </w:t>
      </w:r>
      <w:r w:rsidR="006D199A" w:rsidRPr="006D199A">
        <w:rPr>
          <w:rFonts w:ascii="Rubik" w:eastAsia="Rubik" w:hAnsi="Rubik" w:cs="Rubik"/>
          <w:color w:val="002060"/>
          <w:sz w:val="18"/>
          <w:szCs w:val="18"/>
        </w:rPr>
        <w:t xml:space="preserve">Su actividad se estructura en unidades de negocio especializadas: Lactalis Puleva (leche y </w:t>
      </w:r>
      <w:r w:rsidR="006D199A">
        <w:rPr>
          <w:rFonts w:ascii="Rubik" w:eastAsia="Rubik" w:hAnsi="Rubik" w:cs="Rubik"/>
          <w:color w:val="002060"/>
          <w:sz w:val="18"/>
          <w:szCs w:val="18"/>
        </w:rPr>
        <w:t>bebidas lácteas</w:t>
      </w:r>
      <w:r w:rsidR="006D199A" w:rsidRPr="006D199A">
        <w:rPr>
          <w:rFonts w:ascii="Rubik" w:eastAsia="Rubik" w:hAnsi="Rubik" w:cs="Rubik"/>
          <w:color w:val="002060"/>
          <w:sz w:val="18"/>
          <w:szCs w:val="18"/>
        </w:rPr>
        <w:t>), Lactalis Forlasa (quesos), Lactalis Foodservice (canal profesional), Lactalis Nutrición (</w:t>
      </w:r>
      <w:r w:rsidR="006D199A">
        <w:rPr>
          <w:rFonts w:ascii="Rubik" w:eastAsia="Rubik" w:hAnsi="Rubik" w:cs="Rubik"/>
          <w:color w:val="002060"/>
          <w:sz w:val="18"/>
          <w:szCs w:val="18"/>
        </w:rPr>
        <w:t>nutrición</w:t>
      </w:r>
      <w:r w:rsidR="006D199A" w:rsidRPr="006D199A">
        <w:rPr>
          <w:rFonts w:ascii="Rubik" w:eastAsia="Rubik" w:hAnsi="Rubik" w:cs="Rubik"/>
          <w:color w:val="002060"/>
          <w:sz w:val="18"/>
          <w:szCs w:val="18"/>
        </w:rPr>
        <w:t xml:space="preserve"> </w:t>
      </w:r>
      <w:r w:rsidR="006D199A">
        <w:rPr>
          <w:rFonts w:ascii="Rubik" w:eastAsia="Rubik" w:hAnsi="Rubik" w:cs="Rubik"/>
          <w:color w:val="002060"/>
          <w:sz w:val="18"/>
          <w:szCs w:val="18"/>
        </w:rPr>
        <w:t>infantil</w:t>
      </w:r>
      <w:r w:rsidR="006D199A" w:rsidRPr="006D199A">
        <w:rPr>
          <w:rFonts w:ascii="Rubik" w:eastAsia="Rubik" w:hAnsi="Rubik" w:cs="Rubik"/>
          <w:color w:val="002060"/>
          <w:sz w:val="18"/>
          <w:szCs w:val="18"/>
        </w:rPr>
        <w:t xml:space="preserve"> y </w:t>
      </w:r>
      <w:r w:rsidR="006D199A">
        <w:rPr>
          <w:rFonts w:ascii="Rubik" w:eastAsia="Rubik" w:hAnsi="Rubik" w:cs="Rubik"/>
          <w:color w:val="002060"/>
          <w:sz w:val="18"/>
          <w:szCs w:val="18"/>
        </w:rPr>
        <w:t>clínica</w:t>
      </w:r>
      <w:r w:rsidR="006D199A" w:rsidRPr="006D199A">
        <w:rPr>
          <w:rFonts w:ascii="Rubik" w:eastAsia="Rubik" w:hAnsi="Rubik" w:cs="Rubik"/>
          <w:color w:val="002060"/>
          <w:sz w:val="18"/>
          <w:szCs w:val="18"/>
        </w:rPr>
        <w:t>) y la joint-venture Lactalis Nestlé (yogures y postres).</w:t>
      </w:r>
      <w:r w:rsidR="006D199A">
        <w:rPr>
          <w:rFonts w:ascii="Rubik" w:eastAsia="Rubik" w:hAnsi="Rubik" w:cs="Rubik"/>
          <w:color w:val="002060"/>
          <w:sz w:val="18"/>
          <w:szCs w:val="18"/>
        </w:rPr>
        <w:t xml:space="preserve"> </w:t>
      </w:r>
      <w:r w:rsidRPr="008D46CC">
        <w:rPr>
          <w:rFonts w:ascii="Rubik" w:eastAsia="Rubik" w:hAnsi="Rubik" w:cs="Rubik"/>
          <w:color w:val="002060"/>
          <w:sz w:val="18"/>
          <w:szCs w:val="18"/>
        </w:rPr>
        <w:t>Lactalis apuesta por la sostenibilidad en toda la cadena de valor láctea, la economía circular y la descarbonización, con objetivos climáticos validados por SBTi.</w:t>
      </w:r>
      <w:r w:rsidR="006D199A">
        <w:rPr>
          <w:rFonts w:ascii="Rubik" w:eastAsia="Rubik" w:hAnsi="Rubik" w:cs="Rubik"/>
          <w:color w:val="002060"/>
          <w:sz w:val="18"/>
          <w:szCs w:val="18"/>
        </w:rPr>
        <w:t xml:space="preserve"> </w:t>
      </w:r>
      <w:r w:rsidRPr="008D46CC">
        <w:rPr>
          <w:rFonts w:ascii="Rubik" w:eastAsia="Rubik" w:hAnsi="Rubik" w:cs="Rubik"/>
          <w:color w:val="002060"/>
          <w:sz w:val="18"/>
          <w:szCs w:val="18"/>
        </w:rPr>
        <w:t>Forma parte de</w:t>
      </w:r>
      <w:r w:rsidR="006D199A">
        <w:rPr>
          <w:rFonts w:ascii="Rubik" w:eastAsia="Rubik" w:hAnsi="Rubik" w:cs="Rubik"/>
          <w:color w:val="002060"/>
          <w:sz w:val="18"/>
          <w:szCs w:val="18"/>
        </w:rPr>
        <w:t xml:space="preserve"> </w:t>
      </w:r>
      <w:r w:rsidRPr="008D46CC">
        <w:rPr>
          <w:rFonts w:ascii="Rubik" w:eastAsia="Rubik" w:hAnsi="Rubik" w:cs="Rubik"/>
          <w:color w:val="002060"/>
          <w:sz w:val="18"/>
          <w:szCs w:val="18"/>
        </w:rPr>
        <w:t>Lactalis, líder mundial del sector, presente en 150 países con más de 85.500 colaboradores y 266 centros de producción.</w:t>
      </w:r>
      <w:r w:rsidR="006D199A">
        <w:rPr>
          <w:rFonts w:ascii="Rubik" w:eastAsia="Rubik" w:hAnsi="Rubik" w:cs="Rubik"/>
          <w:color w:val="002060"/>
          <w:sz w:val="18"/>
          <w:szCs w:val="18"/>
        </w:rPr>
        <w:t xml:space="preserve"> </w:t>
      </w:r>
      <w:r w:rsidR="00CB5D57">
        <w:rPr>
          <w:rFonts w:ascii="Rubik" w:eastAsia="Rubik" w:hAnsi="Rubik" w:cs="Rubik"/>
          <w:color w:val="002060"/>
          <w:sz w:val="18"/>
          <w:szCs w:val="18"/>
        </w:rPr>
        <w:t xml:space="preserve">Más información en </w:t>
      </w:r>
      <w:hyperlink r:id="rId11">
        <w:r w:rsidR="00CB5D57">
          <w:rPr>
            <w:rFonts w:ascii="Rubik" w:eastAsia="Rubik" w:hAnsi="Rubik" w:cs="Rubik"/>
            <w:color w:val="0000FF"/>
            <w:sz w:val="18"/>
            <w:szCs w:val="18"/>
            <w:u w:val="single"/>
          </w:rPr>
          <w:t>www.lactalis.es</w:t>
        </w:r>
      </w:hyperlink>
    </w:p>
    <w:p w14:paraId="52AD1083" w14:textId="12A667EE" w:rsidR="00B13A9B" w:rsidRPr="00604451" w:rsidRDefault="00EF3082" w:rsidP="00B13A9B">
      <w:pPr>
        <w:spacing w:after="0" w:line="240" w:lineRule="auto"/>
        <w:jc w:val="both"/>
        <w:rPr>
          <w:rFonts w:ascii="Rubik" w:eastAsia="SimSun" w:hAnsi="Rubik" w:cs="Rubik"/>
          <w:b/>
          <w:bCs/>
          <w:color w:val="002060"/>
          <w:sz w:val="18"/>
          <w:szCs w:val="18"/>
          <w:lang w:eastAsia="zh-CN"/>
        </w:rPr>
      </w:pPr>
      <w:r>
        <w:rPr>
          <w:rFonts w:ascii="Rubik" w:eastAsia="SimSun" w:hAnsi="Rubik" w:cs="Rubik"/>
          <w:b/>
          <w:bCs/>
          <w:color w:val="002060"/>
          <w:sz w:val="18"/>
          <w:szCs w:val="18"/>
          <w:lang w:eastAsia="zh-CN"/>
        </w:rPr>
        <w:br/>
      </w:r>
      <w:r w:rsidR="00B13A9B">
        <w:rPr>
          <w:rFonts w:ascii="Rubik" w:eastAsia="SimSun" w:hAnsi="Rubik" w:cs="Rubik"/>
          <w:b/>
          <w:bCs/>
          <w:color w:val="002060"/>
          <w:sz w:val="18"/>
          <w:szCs w:val="18"/>
          <w:lang w:eastAsia="zh-CN"/>
        </w:rPr>
        <w:t>CONTACTOS DE PRENSA LACTALIS ESPAÑA</w:t>
      </w:r>
    </w:p>
    <w:p w14:paraId="545F4270" w14:textId="77777777" w:rsidR="00B13A9B" w:rsidRPr="00604451" w:rsidRDefault="00B13A9B" w:rsidP="00B13A9B">
      <w:pPr>
        <w:spacing w:after="0" w:line="240" w:lineRule="auto"/>
        <w:jc w:val="both"/>
        <w:rPr>
          <w:rFonts w:ascii="Rubik" w:eastAsia="SimSun" w:hAnsi="Rubik" w:cs="Rubik"/>
          <w:b/>
          <w:bCs/>
          <w:color w:val="002060"/>
          <w:sz w:val="18"/>
          <w:szCs w:val="18"/>
          <w:lang w:eastAsia="zh-CN"/>
        </w:rPr>
      </w:pPr>
    </w:p>
    <w:p w14:paraId="65849C26" w14:textId="77777777" w:rsidR="00B13A9B" w:rsidRPr="00604451" w:rsidRDefault="00B13A9B" w:rsidP="00B13A9B">
      <w:pPr>
        <w:spacing w:after="0" w:line="240" w:lineRule="auto"/>
        <w:jc w:val="both"/>
        <w:rPr>
          <w:rFonts w:ascii="Rubik" w:eastAsia="SimSun" w:hAnsi="Rubik" w:cs="Rubik"/>
          <w:b/>
          <w:bCs/>
          <w:color w:val="002060"/>
          <w:sz w:val="18"/>
          <w:szCs w:val="18"/>
          <w:lang w:eastAsia="zh-CN"/>
        </w:rPr>
      </w:pPr>
      <w:r w:rsidRPr="00604451">
        <w:rPr>
          <w:rFonts w:ascii="Rubik" w:eastAsia="SimSun" w:hAnsi="Rubik" w:cs="Rubik"/>
          <w:b/>
          <w:bCs/>
          <w:color w:val="002060"/>
          <w:sz w:val="18"/>
          <w:szCs w:val="18"/>
          <w:lang w:eastAsia="zh-CN"/>
        </w:rPr>
        <w:t>Jorge Oliva</w:t>
      </w:r>
    </w:p>
    <w:p w14:paraId="2B67595D" w14:textId="77777777" w:rsidR="00B13A9B" w:rsidRPr="00604451" w:rsidRDefault="00B13A9B" w:rsidP="00B13A9B">
      <w:pPr>
        <w:spacing w:after="0" w:line="240" w:lineRule="auto"/>
        <w:jc w:val="both"/>
        <w:rPr>
          <w:rFonts w:ascii="Rubik" w:eastAsia="SimSun" w:hAnsi="Rubik" w:cs="Rubik"/>
          <w:color w:val="002060"/>
          <w:sz w:val="18"/>
          <w:szCs w:val="18"/>
          <w:lang w:eastAsia="zh-CN"/>
        </w:rPr>
      </w:pPr>
      <w:r w:rsidRPr="00604451">
        <w:rPr>
          <w:rFonts w:ascii="Rubik" w:eastAsia="SimSun" w:hAnsi="Rubik" w:cs="Rubik"/>
          <w:color w:val="002060"/>
          <w:sz w:val="18"/>
          <w:szCs w:val="18"/>
          <w:lang w:eastAsia="zh-CN"/>
        </w:rPr>
        <w:t>Director de Comunicación y Asuntos Públicos</w:t>
      </w:r>
    </w:p>
    <w:p w14:paraId="36DC0C6B" w14:textId="77777777" w:rsidR="00B13A9B" w:rsidRDefault="00B13A9B" w:rsidP="00B13A9B">
      <w:pPr>
        <w:spacing w:after="0" w:line="240" w:lineRule="auto"/>
        <w:jc w:val="both"/>
        <w:rPr>
          <w:rFonts w:ascii="Rubik" w:eastAsia="SimSun" w:hAnsi="Rubik" w:cs="Rubik"/>
          <w:sz w:val="18"/>
          <w:szCs w:val="18"/>
          <w:lang w:eastAsia="zh-CN"/>
        </w:rPr>
      </w:pPr>
      <w:hyperlink r:id="rId12" w:history="1">
        <w:r w:rsidRPr="00F47E6C">
          <w:rPr>
            <w:rStyle w:val="Hipervnculo"/>
            <w:rFonts w:ascii="Rubik" w:eastAsia="SimSun" w:hAnsi="Rubik" w:cs="Rubik"/>
            <w:sz w:val="18"/>
            <w:szCs w:val="18"/>
            <w:lang w:eastAsia="zh-CN"/>
          </w:rPr>
          <w:t>jorge.oliva@es.lactalis.com</w:t>
        </w:r>
      </w:hyperlink>
    </w:p>
    <w:p w14:paraId="32D53139" w14:textId="77777777" w:rsidR="00B13A9B" w:rsidRPr="00604451" w:rsidRDefault="00B13A9B" w:rsidP="00B13A9B">
      <w:pPr>
        <w:spacing w:after="0" w:line="240" w:lineRule="auto"/>
        <w:jc w:val="both"/>
        <w:rPr>
          <w:rFonts w:ascii="Rubik" w:eastAsia="SimSun" w:hAnsi="Rubik" w:cs="Rubik"/>
          <w:color w:val="002060"/>
          <w:sz w:val="18"/>
          <w:szCs w:val="18"/>
          <w:lang w:eastAsia="zh-CN"/>
        </w:rPr>
      </w:pPr>
      <w:r w:rsidRPr="00604451">
        <w:rPr>
          <w:rFonts w:ascii="Rubik" w:eastAsia="SimSun" w:hAnsi="Rubik" w:cs="Rubik"/>
          <w:color w:val="002060"/>
          <w:sz w:val="18"/>
          <w:szCs w:val="18"/>
          <w:lang w:eastAsia="zh-CN"/>
        </w:rPr>
        <w:t>Tel. 689 381 234</w:t>
      </w:r>
    </w:p>
    <w:p w14:paraId="37CE3512" w14:textId="77777777" w:rsidR="00B13A9B" w:rsidRPr="00604451" w:rsidRDefault="00B13A9B" w:rsidP="00B13A9B">
      <w:pPr>
        <w:spacing w:after="0" w:line="240" w:lineRule="auto"/>
        <w:jc w:val="both"/>
        <w:rPr>
          <w:rFonts w:ascii="Rubik" w:eastAsia="SimSun" w:hAnsi="Rubik" w:cs="Rubik"/>
          <w:color w:val="002060"/>
          <w:sz w:val="18"/>
          <w:szCs w:val="18"/>
          <w:lang w:eastAsia="zh-CN"/>
        </w:rPr>
      </w:pPr>
    </w:p>
    <w:p w14:paraId="7CD6B373" w14:textId="77777777" w:rsidR="00B13A9B" w:rsidRPr="00604451" w:rsidRDefault="00B13A9B" w:rsidP="00B13A9B">
      <w:pPr>
        <w:spacing w:after="0" w:line="240" w:lineRule="auto"/>
        <w:jc w:val="both"/>
        <w:rPr>
          <w:rFonts w:ascii="Rubik" w:eastAsia="SimSun" w:hAnsi="Rubik" w:cs="Rubik"/>
          <w:b/>
          <w:bCs/>
          <w:color w:val="002060"/>
          <w:sz w:val="18"/>
          <w:szCs w:val="18"/>
          <w:lang w:eastAsia="zh-CN"/>
        </w:rPr>
      </w:pPr>
      <w:r w:rsidRPr="00604451">
        <w:rPr>
          <w:rFonts w:ascii="Rubik" w:eastAsia="SimSun" w:hAnsi="Rubik" w:cs="Rubik"/>
          <w:b/>
          <w:bCs/>
          <w:color w:val="002060"/>
          <w:sz w:val="18"/>
          <w:szCs w:val="18"/>
          <w:lang w:eastAsia="zh-CN"/>
        </w:rPr>
        <w:t>Juan Miguel Ramiro</w:t>
      </w:r>
    </w:p>
    <w:p w14:paraId="53AF40A8" w14:textId="77777777" w:rsidR="00B13A9B" w:rsidRPr="00604451" w:rsidRDefault="00B13A9B" w:rsidP="00B13A9B">
      <w:pPr>
        <w:spacing w:after="0" w:line="240" w:lineRule="auto"/>
        <w:jc w:val="both"/>
        <w:rPr>
          <w:rFonts w:ascii="Rubik" w:eastAsia="SimSun" w:hAnsi="Rubik" w:cs="Rubik"/>
          <w:color w:val="002060"/>
          <w:sz w:val="18"/>
          <w:szCs w:val="18"/>
          <w:lang w:eastAsia="zh-CN"/>
        </w:rPr>
      </w:pPr>
      <w:r w:rsidRPr="00604451">
        <w:rPr>
          <w:rFonts w:ascii="Rubik" w:eastAsia="SimSun" w:hAnsi="Rubik" w:cs="Rubik"/>
          <w:color w:val="002060"/>
          <w:sz w:val="18"/>
          <w:szCs w:val="18"/>
          <w:lang w:eastAsia="zh-CN"/>
        </w:rPr>
        <w:t>Responsable de Comunicación Externa</w:t>
      </w:r>
    </w:p>
    <w:p w14:paraId="05504CDE" w14:textId="77777777" w:rsidR="00B13A9B" w:rsidRDefault="00B13A9B" w:rsidP="00B13A9B">
      <w:pPr>
        <w:spacing w:after="0" w:line="240" w:lineRule="auto"/>
        <w:jc w:val="both"/>
        <w:rPr>
          <w:rFonts w:ascii="Rubik" w:eastAsia="SimSun" w:hAnsi="Rubik" w:cs="Rubik"/>
          <w:sz w:val="18"/>
          <w:szCs w:val="18"/>
          <w:lang w:eastAsia="zh-CN"/>
        </w:rPr>
      </w:pPr>
      <w:hyperlink r:id="rId13" w:history="1">
        <w:r w:rsidRPr="00F90E21">
          <w:rPr>
            <w:rStyle w:val="Hipervnculo"/>
            <w:rFonts w:ascii="Rubik" w:eastAsia="SimSun" w:hAnsi="Rubik" w:cs="Rubik"/>
            <w:sz w:val="18"/>
            <w:szCs w:val="18"/>
            <w:lang w:eastAsia="zh-CN"/>
          </w:rPr>
          <w:t>juanmiguel.ramiro@es.lactalis.com</w:t>
        </w:r>
      </w:hyperlink>
    </w:p>
    <w:p w14:paraId="74A1A056" w14:textId="77777777" w:rsidR="00B13A9B" w:rsidRPr="00604451" w:rsidRDefault="00B13A9B" w:rsidP="00B13A9B">
      <w:pPr>
        <w:spacing w:after="0" w:line="240" w:lineRule="auto"/>
        <w:jc w:val="both"/>
        <w:rPr>
          <w:rFonts w:ascii="Rubik" w:eastAsia="SimSun" w:hAnsi="Rubik" w:cs="Rubik"/>
          <w:color w:val="002060"/>
          <w:sz w:val="18"/>
          <w:szCs w:val="18"/>
          <w:u w:val="single"/>
          <w:lang w:eastAsia="zh-CN"/>
        </w:rPr>
      </w:pPr>
      <w:r w:rsidRPr="00604451">
        <w:rPr>
          <w:rFonts w:ascii="Rubik" w:eastAsia="SimSun" w:hAnsi="Rubik" w:cs="Rubik"/>
          <w:color w:val="002060"/>
          <w:sz w:val="18"/>
          <w:szCs w:val="18"/>
          <w:lang w:eastAsia="zh-CN"/>
        </w:rPr>
        <w:t>Tel. 670 865 425</w:t>
      </w:r>
    </w:p>
    <w:sectPr w:rsidR="00B13A9B" w:rsidRPr="00604451" w:rsidSect="00787DFB">
      <w:headerReference w:type="default" r:id="rId14"/>
      <w:pgSz w:w="11906" w:h="16838"/>
      <w:pgMar w:top="1985" w:right="1416" w:bottom="1135" w:left="1418"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80291" w14:textId="77777777" w:rsidR="004252D2" w:rsidRDefault="004252D2" w:rsidP="00B65535">
      <w:pPr>
        <w:spacing w:after="0" w:line="240" w:lineRule="auto"/>
      </w:pPr>
      <w:r>
        <w:separator/>
      </w:r>
    </w:p>
  </w:endnote>
  <w:endnote w:type="continuationSeparator" w:id="0">
    <w:p w14:paraId="0876D387" w14:textId="77777777" w:rsidR="004252D2" w:rsidRDefault="004252D2" w:rsidP="00B65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ubik">
    <w:altName w:val="Arial"/>
    <w:charset w:val="00"/>
    <w:family w:val="auto"/>
    <w:pitch w:val="variable"/>
    <w:sig w:usb0="A0002A6F" w:usb1="C000205B" w:usb2="00000000" w:usb3="00000000" w:csb0="000000F7"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C7794" w14:textId="77777777" w:rsidR="004252D2" w:rsidRDefault="004252D2" w:rsidP="00B65535">
      <w:pPr>
        <w:spacing w:after="0" w:line="240" w:lineRule="auto"/>
      </w:pPr>
      <w:r>
        <w:separator/>
      </w:r>
    </w:p>
  </w:footnote>
  <w:footnote w:type="continuationSeparator" w:id="0">
    <w:p w14:paraId="22D957C6" w14:textId="77777777" w:rsidR="004252D2" w:rsidRDefault="004252D2" w:rsidP="00B65535">
      <w:pPr>
        <w:spacing w:after="0" w:line="240" w:lineRule="auto"/>
      </w:pPr>
      <w:r>
        <w:continuationSeparator/>
      </w:r>
    </w:p>
  </w:footnote>
  <w:footnote w:id="1">
    <w:p w14:paraId="38102B12" w14:textId="77777777" w:rsidR="002E4491" w:rsidRDefault="002E4491" w:rsidP="002E4491">
      <w:pPr>
        <w:pStyle w:val="Textonotapie"/>
      </w:pPr>
      <w:r>
        <w:rPr>
          <w:rStyle w:val="Refdenotaalpie"/>
        </w:rPr>
        <w:footnoteRef/>
      </w:r>
      <w:r>
        <w:t xml:space="preserve"> </w:t>
      </w:r>
      <w:r w:rsidRPr="00433387">
        <w:rPr>
          <w:rFonts w:ascii="Rubik" w:hAnsi="Rubik" w:cs="Rubik"/>
          <w:color w:val="002060"/>
          <w:sz w:val="18"/>
          <w:szCs w:val="18"/>
        </w:rPr>
        <w:t>Banegas JR, Sánchez-Martínez M, Gijón-Conde T, López-García E, Graciani A, Guallar-Castillón P, et al. Cifras e impacto de la hipertensión arterial en España. Rev Esp Cardiol. 2024;77(9):767–78. doi:10.1016/j.recesp.2024.03.002</w:t>
      </w:r>
    </w:p>
  </w:footnote>
  <w:footnote w:id="2">
    <w:p w14:paraId="3E65D4B5" w14:textId="45DD5809" w:rsidR="00F21A86" w:rsidRPr="004E6AC3" w:rsidRDefault="00F21A86">
      <w:pPr>
        <w:pStyle w:val="Textonotapie"/>
        <w:rPr>
          <w:rFonts w:ascii="Rubik" w:hAnsi="Rubik" w:cs="Rubik"/>
          <w:color w:val="002060"/>
          <w:sz w:val="18"/>
          <w:szCs w:val="18"/>
          <w:lang w:val="en-GB"/>
        </w:rPr>
      </w:pPr>
      <w:r w:rsidRPr="00111A93">
        <w:rPr>
          <w:rStyle w:val="Refdenotaalpie"/>
          <w:rFonts w:ascii="Rubik" w:hAnsi="Rubik" w:cs="Rubik"/>
          <w:color w:val="002060"/>
          <w:sz w:val="18"/>
          <w:szCs w:val="18"/>
        </w:rPr>
        <w:footnoteRef/>
      </w:r>
      <w:r w:rsidRPr="00111A93">
        <w:rPr>
          <w:rFonts w:ascii="Rubik" w:hAnsi="Rubik" w:cs="Rubik"/>
          <w:color w:val="002060"/>
          <w:sz w:val="18"/>
          <w:szCs w:val="18"/>
        </w:rPr>
        <w:t xml:space="preserve"> Ministerio de Sanidad. Estrategia en Enfermedades Cardiovasculares del Sistema Nacional de Salud. </w:t>
      </w:r>
      <w:r w:rsidRPr="004E6AC3">
        <w:rPr>
          <w:rFonts w:ascii="Rubik" w:hAnsi="Rubik" w:cs="Rubik"/>
          <w:color w:val="002060"/>
          <w:sz w:val="18"/>
          <w:szCs w:val="18"/>
          <w:lang w:val="en-GB"/>
        </w:rPr>
        <w:t xml:space="preserve">Actualización 2022. Madrid: Ministerio de Sanidad; 2022. </w:t>
      </w:r>
    </w:p>
  </w:footnote>
  <w:footnote w:id="3">
    <w:p w14:paraId="75C1B788" w14:textId="386E9765" w:rsidR="00F21A86" w:rsidRDefault="00F21A86">
      <w:pPr>
        <w:pStyle w:val="Textonotapie"/>
      </w:pPr>
      <w:r w:rsidRPr="00111A93">
        <w:rPr>
          <w:rStyle w:val="Refdenotaalpie"/>
          <w:rFonts w:ascii="Rubik" w:hAnsi="Rubik" w:cs="Rubik"/>
          <w:color w:val="002060"/>
          <w:sz w:val="18"/>
          <w:szCs w:val="18"/>
        </w:rPr>
        <w:footnoteRef/>
      </w:r>
      <w:r w:rsidRPr="004E6AC3">
        <w:rPr>
          <w:rFonts w:ascii="Rubik" w:hAnsi="Rubik" w:cs="Rubik"/>
          <w:color w:val="002060"/>
          <w:sz w:val="18"/>
          <w:szCs w:val="18"/>
          <w:lang w:val="en-GB"/>
        </w:rPr>
        <w:t xml:space="preserve"> </w:t>
      </w:r>
      <w:r w:rsidR="00111A93" w:rsidRPr="004E6AC3">
        <w:rPr>
          <w:rFonts w:ascii="Rubik" w:hAnsi="Rubik" w:cs="Rubik"/>
          <w:color w:val="002060"/>
          <w:sz w:val="18"/>
          <w:szCs w:val="18"/>
          <w:lang w:val="en-GB"/>
        </w:rPr>
        <w:t xml:space="preserve">World Health Organization. </w:t>
      </w:r>
      <w:r w:rsidR="00111A93" w:rsidRPr="004E6AC3">
        <w:rPr>
          <w:rFonts w:ascii="Rubik" w:hAnsi="Rubik" w:cs="Rubik"/>
          <w:i/>
          <w:iCs/>
          <w:color w:val="002060"/>
          <w:sz w:val="18"/>
          <w:szCs w:val="18"/>
          <w:lang w:val="en-GB"/>
        </w:rPr>
        <w:t>Hypertension fact sheet</w:t>
      </w:r>
      <w:r w:rsidR="00111A93" w:rsidRPr="004E6AC3">
        <w:rPr>
          <w:rFonts w:ascii="Rubik" w:hAnsi="Rubik" w:cs="Rubik"/>
          <w:color w:val="002060"/>
          <w:sz w:val="18"/>
          <w:szCs w:val="18"/>
          <w:lang w:val="en-GB"/>
        </w:rPr>
        <w:t xml:space="preserve">. </w:t>
      </w:r>
      <w:r w:rsidR="00111A93" w:rsidRPr="00111A93">
        <w:rPr>
          <w:rFonts w:ascii="Rubik" w:hAnsi="Rubik" w:cs="Rubik"/>
          <w:color w:val="002060"/>
          <w:sz w:val="18"/>
          <w:szCs w:val="18"/>
        </w:rPr>
        <w:t>Geneva: WHO; 2023. Disponible en: https://www.who.int/news-room/fact-sheets/detail/hypertension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7B8C1" w14:textId="3C15EA1A" w:rsidR="00B65535" w:rsidRDefault="00194C26">
    <w:pPr>
      <w:pStyle w:val="Encabezado"/>
    </w:pPr>
    <w:r>
      <w:rPr>
        <w:noProof/>
      </w:rPr>
      <w:drawing>
        <wp:anchor distT="0" distB="0" distL="114300" distR="114300" simplePos="0" relativeHeight="251660289" behindDoc="1" locked="0" layoutInCell="1" allowOverlap="1" wp14:anchorId="2FC2CA6D" wp14:editId="373B5936">
          <wp:simplePos x="0" y="0"/>
          <wp:positionH relativeFrom="column">
            <wp:posOffset>13970</wp:posOffset>
          </wp:positionH>
          <wp:positionV relativeFrom="paragraph">
            <wp:posOffset>50800</wp:posOffset>
          </wp:positionV>
          <wp:extent cx="739775" cy="655320"/>
          <wp:effectExtent l="0" t="0" r="3175" b="0"/>
          <wp:wrapTight wrapText="bothSides">
            <wp:wrapPolygon edited="0">
              <wp:start x="0" y="0"/>
              <wp:lineTo x="0" y="20721"/>
              <wp:lineTo x="21136" y="20721"/>
              <wp:lineTo x="21136" y="0"/>
              <wp:lineTo x="0" y="0"/>
            </wp:wrapPolygon>
          </wp:wrapTight>
          <wp:docPr id="2100544348" name="Imagen 1" descr="🌟 ¡Conoce el Instituto Puleva de Nutrición! 🌟 - CEE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Conoce el Instituto Puleva de Nutrición! 🌟 - CEEB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775" cy="655320"/>
                  </a:xfrm>
                  <a:prstGeom prst="rect">
                    <a:avLst/>
                  </a:prstGeom>
                  <a:noFill/>
                  <a:ln>
                    <a:noFill/>
                  </a:ln>
                </pic:spPr>
              </pic:pic>
            </a:graphicData>
          </a:graphic>
          <wp14:sizeRelH relativeFrom="page">
            <wp14:pctWidth>0</wp14:pctWidth>
          </wp14:sizeRelH>
          <wp14:sizeRelV relativeFrom="page">
            <wp14:pctHeight>0</wp14:pctHeight>
          </wp14:sizeRelV>
        </wp:anchor>
      </w:drawing>
    </w:r>
    <w:r w:rsidR="008A6585">
      <w:rPr>
        <w:noProof/>
      </w:rPr>
      <w:drawing>
        <wp:anchor distT="0" distB="0" distL="114300" distR="114300" simplePos="0" relativeHeight="251658241" behindDoc="1" locked="0" layoutInCell="1" allowOverlap="1" wp14:anchorId="408ACD6A" wp14:editId="2F71CEC3">
          <wp:simplePos x="0" y="0"/>
          <wp:positionH relativeFrom="column">
            <wp:posOffset>4195445</wp:posOffset>
          </wp:positionH>
          <wp:positionV relativeFrom="paragraph">
            <wp:posOffset>112395</wp:posOffset>
          </wp:positionV>
          <wp:extent cx="1728470" cy="454660"/>
          <wp:effectExtent l="0" t="0" r="0" b="2540"/>
          <wp:wrapTight wrapText="bothSides">
            <wp:wrapPolygon edited="0">
              <wp:start x="7856" y="0"/>
              <wp:lineTo x="3809" y="1810"/>
              <wp:lineTo x="2619" y="9050"/>
              <wp:lineTo x="3095" y="16291"/>
              <wp:lineTo x="6666" y="20816"/>
              <wp:lineTo x="7856" y="20816"/>
              <wp:lineTo x="13807" y="20816"/>
              <wp:lineTo x="14998" y="20816"/>
              <wp:lineTo x="18331" y="16291"/>
              <wp:lineTo x="18807" y="8145"/>
              <wp:lineTo x="16426" y="905"/>
              <wp:lineTo x="13569" y="0"/>
              <wp:lineTo x="7856" y="0"/>
            </wp:wrapPolygon>
          </wp:wrapTight>
          <wp:docPr id="949542225" name="Imagen 1" descr="Lactalis España, la filial española del Grupo Lacta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ctalis España, la filial española del Grupo Lactali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8470" cy="4546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C01DAD"/>
    <w:multiLevelType w:val="hybridMultilevel"/>
    <w:tmpl w:val="579684F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67591336"/>
    <w:multiLevelType w:val="hybridMultilevel"/>
    <w:tmpl w:val="F43E9414"/>
    <w:lvl w:ilvl="0" w:tplc="5ACA7160">
      <w:numFmt w:val="bullet"/>
      <w:lvlText w:val="-"/>
      <w:lvlJc w:val="left"/>
      <w:pPr>
        <w:ind w:left="720" w:hanging="360"/>
      </w:pPr>
      <w:rPr>
        <w:rFonts w:ascii="Rubik" w:eastAsiaTheme="minorHAnsi" w:hAnsi="Rubik" w:cs="Rubik"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04965656">
    <w:abstractNumId w:val="0"/>
  </w:num>
  <w:num w:numId="2" w16cid:durableId="521433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A4C"/>
    <w:rsid w:val="0000626E"/>
    <w:rsid w:val="00017D82"/>
    <w:rsid w:val="00020E25"/>
    <w:rsid w:val="000239C6"/>
    <w:rsid w:val="00036548"/>
    <w:rsid w:val="0008248C"/>
    <w:rsid w:val="00086967"/>
    <w:rsid w:val="0008753E"/>
    <w:rsid w:val="0008762E"/>
    <w:rsid w:val="00094BBB"/>
    <w:rsid w:val="0009645A"/>
    <w:rsid w:val="00097950"/>
    <w:rsid w:val="000A126D"/>
    <w:rsid w:val="000A25C4"/>
    <w:rsid w:val="000A75F3"/>
    <w:rsid w:val="000D357B"/>
    <w:rsid w:val="000D76DE"/>
    <w:rsid w:val="000E77AA"/>
    <w:rsid w:val="000F0253"/>
    <w:rsid w:val="00111A93"/>
    <w:rsid w:val="00120A22"/>
    <w:rsid w:val="001222FF"/>
    <w:rsid w:val="00127141"/>
    <w:rsid w:val="00137B4D"/>
    <w:rsid w:val="00154E15"/>
    <w:rsid w:val="001561D7"/>
    <w:rsid w:val="00190114"/>
    <w:rsid w:val="00191959"/>
    <w:rsid w:val="00192CB6"/>
    <w:rsid w:val="00194C26"/>
    <w:rsid w:val="001B1FA6"/>
    <w:rsid w:val="001C372D"/>
    <w:rsid w:val="001C4542"/>
    <w:rsid w:val="001E0E3F"/>
    <w:rsid w:val="001E37C3"/>
    <w:rsid w:val="001E62A3"/>
    <w:rsid w:val="001F5B87"/>
    <w:rsid w:val="00202C2E"/>
    <w:rsid w:val="0021616B"/>
    <w:rsid w:val="00224564"/>
    <w:rsid w:val="00226E8E"/>
    <w:rsid w:val="00230A36"/>
    <w:rsid w:val="0023479E"/>
    <w:rsid w:val="00235345"/>
    <w:rsid w:val="00243F0B"/>
    <w:rsid w:val="00244B77"/>
    <w:rsid w:val="002504C8"/>
    <w:rsid w:val="0026073B"/>
    <w:rsid w:val="00260CD2"/>
    <w:rsid w:val="0026373E"/>
    <w:rsid w:val="00272694"/>
    <w:rsid w:val="0027666D"/>
    <w:rsid w:val="002B0334"/>
    <w:rsid w:val="002B4230"/>
    <w:rsid w:val="002E12A0"/>
    <w:rsid w:val="002E4491"/>
    <w:rsid w:val="002E561A"/>
    <w:rsid w:val="002E6308"/>
    <w:rsid w:val="00301B9D"/>
    <w:rsid w:val="00312800"/>
    <w:rsid w:val="003201AD"/>
    <w:rsid w:val="0033241B"/>
    <w:rsid w:val="00344C0F"/>
    <w:rsid w:val="00351E3E"/>
    <w:rsid w:val="00375F26"/>
    <w:rsid w:val="003A4A54"/>
    <w:rsid w:val="003B21AA"/>
    <w:rsid w:val="003B2F9E"/>
    <w:rsid w:val="003B75CA"/>
    <w:rsid w:val="003C0CD6"/>
    <w:rsid w:val="003D4DB0"/>
    <w:rsid w:val="003E41D8"/>
    <w:rsid w:val="003E4AA2"/>
    <w:rsid w:val="003E7394"/>
    <w:rsid w:val="003F3F18"/>
    <w:rsid w:val="003F700F"/>
    <w:rsid w:val="004012AD"/>
    <w:rsid w:val="00422816"/>
    <w:rsid w:val="004252D2"/>
    <w:rsid w:val="00433387"/>
    <w:rsid w:val="004549DF"/>
    <w:rsid w:val="00455DBB"/>
    <w:rsid w:val="004604B3"/>
    <w:rsid w:val="004A1E10"/>
    <w:rsid w:val="004B47AF"/>
    <w:rsid w:val="004D25FD"/>
    <w:rsid w:val="004E6AC3"/>
    <w:rsid w:val="004F1B7A"/>
    <w:rsid w:val="004F2067"/>
    <w:rsid w:val="004F2741"/>
    <w:rsid w:val="0050380A"/>
    <w:rsid w:val="005246BF"/>
    <w:rsid w:val="005658DD"/>
    <w:rsid w:val="00566E47"/>
    <w:rsid w:val="005704D7"/>
    <w:rsid w:val="00573865"/>
    <w:rsid w:val="0057429F"/>
    <w:rsid w:val="005838EE"/>
    <w:rsid w:val="00585218"/>
    <w:rsid w:val="005B3F75"/>
    <w:rsid w:val="005B5235"/>
    <w:rsid w:val="005C22A4"/>
    <w:rsid w:val="005E6648"/>
    <w:rsid w:val="005F4589"/>
    <w:rsid w:val="00626122"/>
    <w:rsid w:val="0063288E"/>
    <w:rsid w:val="00635047"/>
    <w:rsid w:val="00636A45"/>
    <w:rsid w:val="00640993"/>
    <w:rsid w:val="00666E68"/>
    <w:rsid w:val="006709F2"/>
    <w:rsid w:val="006759A2"/>
    <w:rsid w:val="00683856"/>
    <w:rsid w:val="006955CF"/>
    <w:rsid w:val="0069596E"/>
    <w:rsid w:val="00697655"/>
    <w:rsid w:val="006A5B25"/>
    <w:rsid w:val="006C4289"/>
    <w:rsid w:val="006C6B83"/>
    <w:rsid w:val="006D199A"/>
    <w:rsid w:val="006D6E78"/>
    <w:rsid w:val="006D72CC"/>
    <w:rsid w:val="006E01F6"/>
    <w:rsid w:val="006E1047"/>
    <w:rsid w:val="00711C5D"/>
    <w:rsid w:val="00711F82"/>
    <w:rsid w:val="007133E3"/>
    <w:rsid w:val="00714196"/>
    <w:rsid w:val="00720CE5"/>
    <w:rsid w:val="00733853"/>
    <w:rsid w:val="00741A44"/>
    <w:rsid w:val="0074241F"/>
    <w:rsid w:val="00763411"/>
    <w:rsid w:val="00766A57"/>
    <w:rsid w:val="007702CB"/>
    <w:rsid w:val="00774CDC"/>
    <w:rsid w:val="007756B3"/>
    <w:rsid w:val="007800E2"/>
    <w:rsid w:val="00787DFB"/>
    <w:rsid w:val="00790AED"/>
    <w:rsid w:val="007A6544"/>
    <w:rsid w:val="007B37A3"/>
    <w:rsid w:val="007B5FB7"/>
    <w:rsid w:val="007D3902"/>
    <w:rsid w:val="007D60EB"/>
    <w:rsid w:val="007D71CA"/>
    <w:rsid w:val="007E1A4C"/>
    <w:rsid w:val="007E2A98"/>
    <w:rsid w:val="007F0723"/>
    <w:rsid w:val="0080285F"/>
    <w:rsid w:val="00832B0A"/>
    <w:rsid w:val="008459BE"/>
    <w:rsid w:val="008826F9"/>
    <w:rsid w:val="008A42E9"/>
    <w:rsid w:val="008A6585"/>
    <w:rsid w:val="008B1D32"/>
    <w:rsid w:val="008C3CE7"/>
    <w:rsid w:val="008D1A35"/>
    <w:rsid w:val="008D46CC"/>
    <w:rsid w:val="008E3138"/>
    <w:rsid w:val="008F58A5"/>
    <w:rsid w:val="008F7815"/>
    <w:rsid w:val="009073E9"/>
    <w:rsid w:val="00911268"/>
    <w:rsid w:val="0091127A"/>
    <w:rsid w:val="00922B08"/>
    <w:rsid w:val="00933F32"/>
    <w:rsid w:val="00934BF6"/>
    <w:rsid w:val="00936F3E"/>
    <w:rsid w:val="00947DD7"/>
    <w:rsid w:val="009513A3"/>
    <w:rsid w:val="00966E0F"/>
    <w:rsid w:val="00970965"/>
    <w:rsid w:val="00985C7E"/>
    <w:rsid w:val="00987C25"/>
    <w:rsid w:val="009909C0"/>
    <w:rsid w:val="009D10A7"/>
    <w:rsid w:val="009D2AF6"/>
    <w:rsid w:val="009D4CCE"/>
    <w:rsid w:val="009D7D2D"/>
    <w:rsid w:val="009E35AB"/>
    <w:rsid w:val="00A10503"/>
    <w:rsid w:val="00A37DFB"/>
    <w:rsid w:val="00A41D34"/>
    <w:rsid w:val="00A42D82"/>
    <w:rsid w:val="00A504D5"/>
    <w:rsid w:val="00A54916"/>
    <w:rsid w:val="00A56121"/>
    <w:rsid w:val="00A63077"/>
    <w:rsid w:val="00A70580"/>
    <w:rsid w:val="00A84998"/>
    <w:rsid w:val="00A96A18"/>
    <w:rsid w:val="00AC4586"/>
    <w:rsid w:val="00AC53DE"/>
    <w:rsid w:val="00AD0466"/>
    <w:rsid w:val="00AD4448"/>
    <w:rsid w:val="00AE6C1C"/>
    <w:rsid w:val="00B070E9"/>
    <w:rsid w:val="00B13A9B"/>
    <w:rsid w:val="00B13C20"/>
    <w:rsid w:val="00B35720"/>
    <w:rsid w:val="00B36629"/>
    <w:rsid w:val="00B36A57"/>
    <w:rsid w:val="00B42972"/>
    <w:rsid w:val="00B42D65"/>
    <w:rsid w:val="00B52727"/>
    <w:rsid w:val="00B571CC"/>
    <w:rsid w:val="00B6024B"/>
    <w:rsid w:val="00B6117B"/>
    <w:rsid w:val="00B65535"/>
    <w:rsid w:val="00B72083"/>
    <w:rsid w:val="00B86C3E"/>
    <w:rsid w:val="00B96920"/>
    <w:rsid w:val="00BA4252"/>
    <w:rsid w:val="00BA4F25"/>
    <w:rsid w:val="00BA625B"/>
    <w:rsid w:val="00BC5821"/>
    <w:rsid w:val="00BC64CC"/>
    <w:rsid w:val="00BD6AFA"/>
    <w:rsid w:val="00BE38D9"/>
    <w:rsid w:val="00BF38CD"/>
    <w:rsid w:val="00C046BE"/>
    <w:rsid w:val="00C31896"/>
    <w:rsid w:val="00C40E84"/>
    <w:rsid w:val="00C44C83"/>
    <w:rsid w:val="00C92129"/>
    <w:rsid w:val="00C9589C"/>
    <w:rsid w:val="00CB5D57"/>
    <w:rsid w:val="00CB784A"/>
    <w:rsid w:val="00CD05AE"/>
    <w:rsid w:val="00CE4A9A"/>
    <w:rsid w:val="00CF55B3"/>
    <w:rsid w:val="00CF562C"/>
    <w:rsid w:val="00D032D6"/>
    <w:rsid w:val="00D0638A"/>
    <w:rsid w:val="00D1618D"/>
    <w:rsid w:val="00D2128F"/>
    <w:rsid w:val="00D21706"/>
    <w:rsid w:val="00D21F26"/>
    <w:rsid w:val="00D47A90"/>
    <w:rsid w:val="00D83A22"/>
    <w:rsid w:val="00D879B0"/>
    <w:rsid w:val="00DA7FDA"/>
    <w:rsid w:val="00DB3BA3"/>
    <w:rsid w:val="00DB3F04"/>
    <w:rsid w:val="00DD4577"/>
    <w:rsid w:val="00DD6F2A"/>
    <w:rsid w:val="00DE23B3"/>
    <w:rsid w:val="00DE5ABD"/>
    <w:rsid w:val="00DF10C4"/>
    <w:rsid w:val="00E07B83"/>
    <w:rsid w:val="00E20F60"/>
    <w:rsid w:val="00E21C4F"/>
    <w:rsid w:val="00E301F6"/>
    <w:rsid w:val="00E34865"/>
    <w:rsid w:val="00E35874"/>
    <w:rsid w:val="00E417DD"/>
    <w:rsid w:val="00E457DB"/>
    <w:rsid w:val="00E53414"/>
    <w:rsid w:val="00E62FC5"/>
    <w:rsid w:val="00E74866"/>
    <w:rsid w:val="00E75517"/>
    <w:rsid w:val="00E81A91"/>
    <w:rsid w:val="00EC6F13"/>
    <w:rsid w:val="00EC70A0"/>
    <w:rsid w:val="00EF3082"/>
    <w:rsid w:val="00EF7C12"/>
    <w:rsid w:val="00F004A5"/>
    <w:rsid w:val="00F073D4"/>
    <w:rsid w:val="00F14459"/>
    <w:rsid w:val="00F21A86"/>
    <w:rsid w:val="00F346AB"/>
    <w:rsid w:val="00F4002C"/>
    <w:rsid w:val="00F45710"/>
    <w:rsid w:val="00F64E90"/>
    <w:rsid w:val="00F85EE0"/>
    <w:rsid w:val="00F90B05"/>
    <w:rsid w:val="00F91735"/>
    <w:rsid w:val="00F9368A"/>
    <w:rsid w:val="00F96363"/>
    <w:rsid w:val="00FB5915"/>
    <w:rsid w:val="00FD16CB"/>
    <w:rsid w:val="00FD59A5"/>
    <w:rsid w:val="00FD7EBB"/>
    <w:rsid w:val="00FE28DB"/>
    <w:rsid w:val="00FE3A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70AD3"/>
  <w15:docId w15:val="{7678716C-8B08-4F53-A299-FCBF93AE3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F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8459BE"/>
    <w:rPr>
      <w:color w:val="0000FF"/>
      <w:u w:val="single"/>
    </w:rPr>
  </w:style>
  <w:style w:type="paragraph" w:styleId="Prrafodelista">
    <w:name w:val="List Paragraph"/>
    <w:basedOn w:val="Normal"/>
    <w:uiPriority w:val="34"/>
    <w:qFormat/>
    <w:rsid w:val="00D0638A"/>
    <w:pPr>
      <w:spacing w:after="0" w:line="240" w:lineRule="auto"/>
      <w:ind w:left="720"/>
    </w:pPr>
    <w:rPr>
      <w:rFonts w:ascii="Calibri" w:hAnsi="Calibri" w:cs="Calibri"/>
    </w:rPr>
  </w:style>
  <w:style w:type="character" w:styleId="Refdecomentario">
    <w:name w:val="annotation reference"/>
    <w:basedOn w:val="Fuentedeprrafopredeter"/>
    <w:uiPriority w:val="99"/>
    <w:semiHidden/>
    <w:unhideWhenUsed/>
    <w:rsid w:val="007F0723"/>
    <w:rPr>
      <w:sz w:val="16"/>
      <w:szCs w:val="16"/>
    </w:rPr>
  </w:style>
  <w:style w:type="paragraph" w:styleId="Textocomentario">
    <w:name w:val="annotation text"/>
    <w:basedOn w:val="Normal"/>
    <w:link w:val="TextocomentarioCar"/>
    <w:uiPriority w:val="99"/>
    <w:semiHidden/>
    <w:unhideWhenUsed/>
    <w:rsid w:val="007F072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F0723"/>
    <w:rPr>
      <w:sz w:val="20"/>
      <w:szCs w:val="20"/>
    </w:rPr>
  </w:style>
  <w:style w:type="paragraph" w:styleId="Asuntodelcomentario">
    <w:name w:val="annotation subject"/>
    <w:basedOn w:val="Textocomentario"/>
    <w:next w:val="Textocomentario"/>
    <w:link w:val="AsuntodelcomentarioCar"/>
    <w:uiPriority w:val="99"/>
    <w:semiHidden/>
    <w:unhideWhenUsed/>
    <w:rsid w:val="007F0723"/>
    <w:rPr>
      <w:b/>
      <w:bCs/>
    </w:rPr>
  </w:style>
  <w:style w:type="character" w:customStyle="1" w:styleId="AsuntodelcomentarioCar">
    <w:name w:val="Asunto del comentario Car"/>
    <w:basedOn w:val="TextocomentarioCar"/>
    <w:link w:val="Asuntodelcomentario"/>
    <w:uiPriority w:val="99"/>
    <w:semiHidden/>
    <w:rsid w:val="007F0723"/>
    <w:rPr>
      <w:b/>
      <w:bCs/>
      <w:sz w:val="20"/>
      <w:szCs w:val="20"/>
    </w:rPr>
  </w:style>
  <w:style w:type="paragraph" w:styleId="Textodeglobo">
    <w:name w:val="Balloon Text"/>
    <w:basedOn w:val="Normal"/>
    <w:link w:val="TextodegloboCar"/>
    <w:uiPriority w:val="99"/>
    <w:semiHidden/>
    <w:unhideWhenUsed/>
    <w:rsid w:val="007F072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0723"/>
    <w:rPr>
      <w:rFonts w:ascii="Segoe UI" w:hAnsi="Segoe UI" w:cs="Segoe UI"/>
      <w:sz w:val="18"/>
      <w:szCs w:val="18"/>
    </w:rPr>
  </w:style>
  <w:style w:type="paragraph" w:styleId="Encabezado">
    <w:name w:val="header"/>
    <w:basedOn w:val="Normal"/>
    <w:link w:val="EncabezadoCar"/>
    <w:uiPriority w:val="99"/>
    <w:unhideWhenUsed/>
    <w:rsid w:val="00B655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65535"/>
  </w:style>
  <w:style w:type="paragraph" w:styleId="Piedepgina">
    <w:name w:val="footer"/>
    <w:basedOn w:val="Normal"/>
    <w:link w:val="PiedepginaCar"/>
    <w:uiPriority w:val="99"/>
    <w:unhideWhenUsed/>
    <w:rsid w:val="00B655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65535"/>
  </w:style>
  <w:style w:type="paragraph" w:styleId="Textonotaalfinal">
    <w:name w:val="endnote text"/>
    <w:basedOn w:val="Normal"/>
    <w:link w:val="TextonotaalfinalCar"/>
    <w:uiPriority w:val="99"/>
    <w:semiHidden/>
    <w:unhideWhenUsed/>
    <w:rsid w:val="006E104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E1047"/>
    <w:rPr>
      <w:sz w:val="20"/>
      <w:szCs w:val="20"/>
    </w:rPr>
  </w:style>
  <w:style w:type="character" w:styleId="Refdenotaalfinal">
    <w:name w:val="endnote reference"/>
    <w:basedOn w:val="Fuentedeprrafopredeter"/>
    <w:uiPriority w:val="99"/>
    <w:semiHidden/>
    <w:unhideWhenUsed/>
    <w:rsid w:val="006E1047"/>
    <w:rPr>
      <w:vertAlign w:val="superscript"/>
    </w:rPr>
  </w:style>
  <w:style w:type="paragraph" w:styleId="Textonotapie">
    <w:name w:val="footnote text"/>
    <w:basedOn w:val="Normal"/>
    <w:link w:val="TextonotapieCar"/>
    <w:uiPriority w:val="99"/>
    <w:semiHidden/>
    <w:unhideWhenUsed/>
    <w:rsid w:val="006E104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E1047"/>
    <w:rPr>
      <w:sz w:val="20"/>
      <w:szCs w:val="20"/>
    </w:rPr>
  </w:style>
  <w:style w:type="character" w:styleId="Refdenotaalpie">
    <w:name w:val="footnote reference"/>
    <w:basedOn w:val="Fuentedeprrafopredeter"/>
    <w:uiPriority w:val="99"/>
    <w:semiHidden/>
    <w:unhideWhenUsed/>
    <w:rsid w:val="006E1047"/>
    <w:rPr>
      <w:vertAlign w:val="superscript"/>
    </w:rPr>
  </w:style>
  <w:style w:type="character" w:styleId="Mencinsinresolver">
    <w:name w:val="Unresolved Mention"/>
    <w:basedOn w:val="Fuentedeprrafopredeter"/>
    <w:uiPriority w:val="99"/>
    <w:semiHidden/>
    <w:unhideWhenUsed/>
    <w:rsid w:val="00987C25"/>
    <w:rPr>
      <w:color w:val="605E5C"/>
      <w:shd w:val="clear" w:color="auto" w:fill="E1DFDD"/>
    </w:rPr>
  </w:style>
  <w:style w:type="paragraph" w:styleId="Revisin">
    <w:name w:val="Revision"/>
    <w:hidden/>
    <w:uiPriority w:val="99"/>
    <w:semiHidden/>
    <w:rsid w:val="00936F3E"/>
    <w:pPr>
      <w:spacing w:after="0" w:line="240" w:lineRule="auto"/>
    </w:pPr>
  </w:style>
  <w:style w:type="character" w:styleId="Hipervnculovisitado">
    <w:name w:val="FollowedHyperlink"/>
    <w:basedOn w:val="Fuentedeprrafopredeter"/>
    <w:uiPriority w:val="99"/>
    <w:semiHidden/>
    <w:unhideWhenUsed/>
    <w:rsid w:val="00F144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630499">
      <w:bodyDiv w:val="1"/>
      <w:marLeft w:val="0"/>
      <w:marRight w:val="0"/>
      <w:marTop w:val="0"/>
      <w:marBottom w:val="0"/>
      <w:divBdr>
        <w:top w:val="none" w:sz="0" w:space="0" w:color="auto"/>
        <w:left w:val="none" w:sz="0" w:space="0" w:color="auto"/>
        <w:bottom w:val="none" w:sz="0" w:space="0" w:color="auto"/>
        <w:right w:val="none" w:sz="0" w:space="0" w:color="auto"/>
      </w:divBdr>
    </w:div>
    <w:div w:id="1008605003">
      <w:bodyDiv w:val="1"/>
      <w:marLeft w:val="0"/>
      <w:marRight w:val="0"/>
      <w:marTop w:val="0"/>
      <w:marBottom w:val="0"/>
      <w:divBdr>
        <w:top w:val="none" w:sz="0" w:space="0" w:color="auto"/>
        <w:left w:val="none" w:sz="0" w:space="0" w:color="auto"/>
        <w:bottom w:val="none" w:sz="0" w:space="0" w:color="auto"/>
        <w:right w:val="none" w:sz="0" w:space="0" w:color="auto"/>
      </w:divBdr>
    </w:div>
    <w:div w:id="1018778060">
      <w:bodyDiv w:val="1"/>
      <w:marLeft w:val="0"/>
      <w:marRight w:val="0"/>
      <w:marTop w:val="0"/>
      <w:marBottom w:val="0"/>
      <w:divBdr>
        <w:top w:val="none" w:sz="0" w:space="0" w:color="auto"/>
        <w:left w:val="none" w:sz="0" w:space="0" w:color="auto"/>
        <w:bottom w:val="none" w:sz="0" w:space="0" w:color="auto"/>
        <w:right w:val="none" w:sz="0" w:space="0" w:color="auto"/>
      </w:divBdr>
    </w:div>
    <w:div w:id="1222213102">
      <w:bodyDiv w:val="1"/>
      <w:marLeft w:val="0"/>
      <w:marRight w:val="0"/>
      <w:marTop w:val="0"/>
      <w:marBottom w:val="0"/>
      <w:divBdr>
        <w:top w:val="none" w:sz="0" w:space="0" w:color="auto"/>
        <w:left w:val="none" w:sz="0" w:space="0" w:color="auto"/>
        <w:bottom w:val="none" w:sz="0" w:space="0" w:color="auto"/>
        <w:right w:val="none" w:sz="0" w:space="0" w:color="auto"/>
      </w:divBdr>
    </w:div>
    <w:div w:id="1308587597">
      <w:bodyDiv w:val="1"/>
      <w:marLeft w:val="0"/>
      <w:marRight w:val="0"/>
      <w:marTop w:val="0"/>
      <w:marBottom w:val="0"/>
      <w:divBdr>
        <w:top w:val="none" w:sz="0" w:space="0" w:color="auto"/>
        <w:left w:val="none" w:sz="0" w:space="0" w:color="auto"/>
        <w:bottom w:val="none" w:sz="0" w:space="0" w:color="auto"/>
        <w:right w:val="none" w:sz="0" w:space="0" w:color="auto"/>
      </w:divBdr>
    </w:div>
    <w:div w:id="1666082421">
      <w:bodyDiv w:val="1"/>
      <w:marLeft w:val="0"/>
      <w:marRight w:val="0"/>
      <w:marTop w:val="0"/>
      <w:marBottom w:val="0"/>
      <w:divBdr>
        <w:top w:val="none" w:sz="0" w:space="0" w:color="auto"/>
        <w:left w:val="none" w:sz="0" w:space="0" w:color="auto"/>
        <w:bottom w:val="none" w:sz="0" w:space="0" w:color="auto"/>
        <w:right w:val="none" w:sz="0" w:space="0" w:color="auto"/>
      </w:divBdr>
    </w:div>
    <w:div w:id="206020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institutopulevanutricion.es/2025/07/22/lacteos-tension-arterial/" TargetMode="External"/><Relationship Id="rId13" Type="http://schemas.openxmlformats.org/officeDocument/2006/relationships/hyperlink" Target="mailto:juanmiguel.ramiro@es.lactali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rge.oliva@es.lactalis.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ctalis.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nature.com/articles/s41440-024-02088-6"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37130-5907-465D-8707-B591EAAB4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1250</Words>
  <Characters>6881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Grupo Lactalis Iberia</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SANCHEZ Lucia, Madrid</dc:creator>
  <cp:lastModifiedBy>Juan Carlos Fite</cp:lastModifiedBy>
  <cp:revision>16</cp:revision>
  <cp:lastPrinted>2017-04-25T10:58:00Z</cp:lastPrinted>
  <dcterms:created xsi:type="dcterms:W3CDTF">2025-09-05T07:18:00Z</dcterms:created>
  <dcterms:modified xsi:type="dcterms:W3CDTF">2025-09-09T13:35:00Z</dcterms:modified>
</cp:coreProperties>
</file>